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D6718" w14:textId="77777777" w:rsidR="00DC6F69" w:rsidRDefault="00DC6F69" w:rsidP="00DC6F69">
      <w:pPr>
        <w:tabs>
          <w:tab w:val="left" w:pos="2055"/>
        </w:tabs>
        <w:spacing w:line="240" w:lineRule="auto"/>
        <w:jc w:val="center"/>
        <w:rPr>
          <w:rFonts w:ascii="Times New Roman" w:hAnsi="Times New Roman" w:cs="Times New Roman"/>
          <w:sz w:val="24"/>
          <w:szCs w:val="24"/>
        </w:rPr>
      </w:pPr>
    </w:p>
    <w:p w14:paraId="68DE3ECE" w14:textId="2858AE94" w:rsidR="0023673C" w:rsidRDefault="0023673C" w:rsidP="00F8143B">
      <w:pPr>
        <w:tabs>
          <w:tab w:val="left" w:pos="2055"/>
        </w:tabs>
        <w:spacing w:line="240" w:lineRule="auto"/>
        <w:rPr>
          <w:rFonts w:ascii="Times New Roman" w:hAnsi="Times New Roman" w:cs="Times New Roman"/>
          <w:sz w:val="24"/>
          <w:szCs w:val="24"/>
        </w:rPr>
      </w:pPr>
    </w:p>
    <w:p w14:paraId="311C669D" w14:textId="7D911D23" w:rsidR="00DC6F69" w:rsidRDefault="00C70C18" w:rsidP="00DC6F69">
      <w:pPr>
        <w:tabs>
          <w:tab w:val="left" w:pos="2055"/>
        </w:tabs>
        <w:spacing w:line="240" w:lineRule="auto"/>
        <w:jc w:val="center"/>
        <w:rPr>
          <w:rFonts w:ascii="Times New Roman" w:hAnsi="Times New Roman" w:cs="Times New Roman"/>
          <w:sz w:val="24"/>
          <w:szCs w:val="24"/>
        </w:rPr>
      </w:pPr>
      <w:r>
        <w:rPr>
          <w:rFonts w:ascii="Times New Roman" w:hAnsi="Times New Roman" w:cs="Times New Roman"/>
          <w:sz w:val="24"/>
          <w:szCs w:val="24"/>
        </w:rPr>
        <w:t>American Revolution</w:t>
      </w:r>
    </w:p>
    <w:p w14:paraId="4317D135" w14:textId="03C1C416" w:rsidR="00F8143B" w:rsidRDefault="00F8143B" w:rsidP="00DC6F69">
      <w:pPr>
        <w:tabs>
          <w:tab w:val="left" w:pos="2055"/>
        </w:tabs>
        <w:spacing w:line="240" w:lineRule="auto"/>
        <w:jc w:val="center"/>
        <w:rPr>
          <w:rFonts w:ascii="Times New Roman" w:hAnsi="Times New Roman" w:cs="Times New Roman"/>
          <w:sz w:val="24"/>
          <w:szCs w:val="24"/>
        </w:rPr>
      </w:pPr>
    </w:p>
    <w:p w14:paraId="3B8C2DB3" w14:textId="77777777" w:rsidR="00F8143B" w:rsidRDefault="00F8143B" w:rsidP="00DC6F69">
      <w:pPr>
        <w:tabs>
          <w:tab w:val="left" w:pos="2055"/>
        </w:tabs>
        <w:spacing w:line="240" w:lineRule="auto"/>
        <w:jc w:val="center"/>
        <w:rPr>
          <w:rFonts w:ascii="Times New Roman" w:hAnsi="Times New Roman" w:cs="Times New Roman"/>
          <w:sz w:val="24"/>
          <w:szCs w:val="24"/>
        </w:rPr>
      </w:pPr>
    </w:p>
    <w:p w14:paraId="1DB70642" w14:textId="725D3A43" w:rsidR="00F8143B" w:rsidRDefault="00F8143B" w:rsidP="00DC6F69">
      <w:pPr>
        <w:tabs>
          <w:tab w:val="left" w:pos="2055"/>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14:paraId="29995F97" w14:textId="77777777" w:rsidR="00DC6F69" w:rsidRDefault="00C70C18" w:rsidP="00DC6F69">
      <w:pPr>
        <w:tabs>
          <w:tab w:val="left" w:pos="2055"/>
        </w:tabs>
        <w:spacing w:line="240" w:lineRule="auto"/>
        <w:jc w:val="center"/>
        <w:rPr>
          <w:rFonts w:ascii="Times New Roman" w:hAnsi="Times New Roman" w:cs="Times New Roman"/>
          <w:sz w:val="24"/>
          <w:szCs w:val="24"/>
        </w:rPr>
      </w:pPr>
      <w:r>
        <w:rPr>
          <w:rFonts w:ascii="Times New Roman" w:hAnsi="Times New Roman" w:cs="Times New Roman"/>
          <w:sz w:val="24"/>
          <w:szCs w:val="24"/>
        </w:rPr>
        <w:t>Course number and section</w:t>
      </w:r>
    </w:p>
    <w:p w14:paraId="7BF4F36D" w14:textId="77777777" w:rsidR="00DC6F69" w:rsidRDefault="00C70C18" w:rsidP="00DC6F69">
      <w:pPr>
        <w:tabs>
          <w:tab w:val="left" w:pos="2055"/>
        </w:tabs>
        <w:spacing w:line="240" w:lineRule="auto"/>
        <w:jc w:val="center"/>
        <w:rPr>
          <w:rFonts w:ascii="Times New Roman" w:hAnsi="Times New Roman" w:cs="Times New Roman"/>
          <w:sz w:val="24"/>
          <w:szCs w:val="24"/>
        </w:rPr>
      </w:pPr>
      <w:r>
        <w:rPr>
          <w:rFonts w:ascii="Times New Roman" w:hAnsi="Times New Roman" w:cs="Times New Roman"/>
          <w:sz w:val="24"/>
          <w:szCs w:val="24"/>
        </w:rPr>
        <w:t>Due date</w:t>
      </w:r>
    </w:p>
    <w:p w14:paraId="7F2B990D" w14:textId="77777777" w:rsidR="00DC6F69" w:rsidRDefault="00DC6F69">
      <w:pPr>
        <w:rPr>
          <w:rFonts w:ascii="Times New Roman" w:hAnsi="Times New Roman" w:cs="Times New Roman"/>
          <w:sz w:val="24"/>
          <w:szCs w:val="24"/>
        </w:rPr>
      </w:pPr>
    </w:p>
    <w:p w14:paraId="469B7CB0" w14:textId="77777777" w:rsidR="00DC6F69" w:rsidRDefault="00DC6F69">
      <w:pPr>
        <w:rPr>
          <w:rFonts w:ascii="Times New Roman" w:hAnsi="Times New Roman" w:cs="Times New Roman"/>
          <w:sz w:val="24"/>
          <w:szCs w:val="24"/>
        </w:rPr>
      </w:pPr>
    </w:p>
    <w:p w14:paraId="560B343E" w14:textId="77777777" w:rsidR="00DC6F69" w:rsidRDefault="00DC6F69">
      <w:pPr>
        <w:rPr>
          <w:rFonts w:ascii="Times New Roman" w:hAnsi="Times New Roman" w:cs="Times New Roman"/>
          <w:sz w:val="24"/>
          <w:szCs w:val="24"/>
        </w:rPr>
      </w:pPr>
    </w:p>
    <w:p w14:paraId="06E0133B" w14:textId="77777777" w:rsidR="00DC6F69" w:rsidRDefault="00DC6F69">
      <w:pPr>
        <w:rPr>
          <w:rFonts w:ascii="Times New Roman" w:hAnsi="Times New Roman" w:cs="Times New Roman"/>
          <w:sz w:val="24"/>
          <w:szCs w:val="24"/>
        </w:rPr>
      </w:pPr>
    </w:p>
    <w:p w14:paraId="5D4E76B4" w14:textId="77777777" w:rsidR="00DC6F69" w:rsidRDefault="00DC6F69">
      <w:pPr>
        <w:rPr>
          <w:rFonts w:ascii="Times New Roman" w:hAnsi="Times New Roman" w:cs="Times New Roman"/>
          <w:sz w:val="24"/>
          <w:szCs w:val="24"/>
        </w:rPr>
      </w:pPr>
    </w:p>
    <w:p w14:paraId="262CC10B" w14:textId="77777777" w:rsidR="00DC6F69" w:rsidRDefault="00DC6F69">
      <w:pPr>
        <w:rPr>
          <w:rFonts w:ascii="Times New Roman" w:hAnsi="Times New Roman" w:cs="Times New Roman"/>
          <w:sz w:val="24"/>
          <w:szCs w:val="24"/>
        </w:rPr>
      </w:pPr>
    </w:p>
    <w:p w14:paraId="1DF67AD2" w14:textId="77777777" w:rsidR="00DC6F69" w:rsidRDefault="00DC6F69">
      <w:pPr>
        <w:rPr>
          <w:rFonts w:ascii="Times New Roman" w:hAnsi="Times New Roman" w:cs="Times New Roman"/>
          <w:sz w:val="24"/>
          <w:szCs w:val="24"/>
        </w:rPr>
      </w:pPr>
    </w:p>
    <w:p w14:paraId="13D28A22" w14:textId="77777777" w:rsidR="00DC6F69" w:rsidRDefault="00DC6F69">
      <w:pPr>
        <w:rPr>
          <w:rFonts w:ascii="Times New Roman" w:hAnsi="Times New Roman" w:cs="Times New Roman"/>
          <w:sz w:val="24"/>
          <w:szCs w:val="24"/>
        </w:rPr>
      </w:pPr>
    </w:p>
    <w:p w14:paraId="0F09E48A" w14:textId="77777777" w:rsidR="00DC6F69" w:rsidRDefault="00DC6F69">
      <w:pPr>
        <w:rPr>
          <w:rFonts w:ascii="Times New Roman" w:hAnsi="Times New Roman" w:cs="Times New Roman"/>
          <w:sz w:val="24"/>
          <w:szCs w:val="24"/>
        </w:rPr>
      </w:pPr>
    </w:p>
    <w:p w14:paraId="09913FBA" w14:textId="77777777" w:rsidR="00DC6F69" w:rsidRDefault="00DC6F69">
      <w:pPr>
        <w:rPr>
          <w:rFonts w:ascii="Times New Roman" w:hAnsi="Times New Roman" w:cs="Times New Roman"/>
          <w:sz w:val="24"/>
          <w:szCs w:val="24"/>
        </w:rPr>
      </w:pPr>
    </w:p>
    <w:p w14:paraId="244681E3" w14:textId="77777777" w:rsidR="00DC6F69" w:rsidRDefault="00DC6F69">
      <w:pPr>
        <w:rPr>
          <w:rFonts w:ascii="Times New Roman" w:hAnsi="Times New Roman" w:cs="Times New Roman"/>
          <w:sz w:val="24"/>
          <w:szCs w:val="24"/>
        </w:rPr>
      </w:pPr>
    </w:p>
    <w:p w14:paraId="3FF1A799" w14:textId="77777777" w:rsidR="00DC6F69" w:rsidRDefault="00DC6F69">
      <w:pPr>
        <w:rPr>
          <w:rFonts w:ascii="Times New Roman" w:hAnsi="Times New Roman" w:cs="Times New Roman"/>
          <w:sz w:val="24"/>
          <w:szCs w:val="24"/>
        </w:rPr>
      </w:pPr>
    </w:p>
    <w:p w14:paraId="34B77306" w14:textId="77777777" w:rsidR="00DC6F69" w:rsidRDefault="00DC6F69">
      <w:pPr>
        <w:rPr>
          <w:rFonts w:ascii="Times New Roman" w:hAnsi="Times New Roman" w:cs="Times New Roman"/>
          <w:sz w:val="24"/>
          <w:szCs w:val="24"/>
        </w:rPr>
      </w:pPr>
    </w:p>
    <w:p w14:paraId="7CC469DE" w14:textId="77777777" w:rsidR="00DC6F69" w:rsidRDefault="00DC6F69">
      <w:pPr>
        <w:rPr>
          <w:rFonts w:ascii="Times New Roman" w:hAnsi="Times New Roman" w:cs="Times New Roman"/>
          <w:sz w:val="24"/>
          <w:szCs w:val="24"/>
        </w:rPr>
      </w:pPr>
    </w:p>
    <w:p w14:paraId="354019EE" w14:textId="77777777" w:rsidR="00601D8D" w:rsidRDefault="00601D8D" w:rsidP="00DC6F69">
      <w:pPr>
        <w:ind w:left="2880" w:firstLine="720"/>
        <w:rPr>
          <w:rFonts w:ascii="Times New Roman" w:hAnsi="Times New Roman" w:cs="Times New Roman"/>
          <w:b/>
          <w:sz w:val="24"/>
          <w:szCs w:val="24"/>
        </w:rPr>
      </w:pPr>
    </w:p>
    <w:p w14:paraId="78AE69EB" w14:textId="77777777" w:rsidR="00601D8D" w:rsidRDefault="00601D8D" w:rsidP="00DC6F69">
      <w:pPr>
        <w:ind w:left="2880" w:firstLine="720"/>
        <w:rPr>
          <w:rFonts w:ascii="Times New Roman" w:hAnsi="Times New Roman" w:cs="Times New Roman"/>
          <w:b/>
          <w:sz w:val="24"/>
          <w:szCs w:val="24"/>
        </w:rPr>
      </w:pPr>
    </w:p>
    <w:p w14:paraId="7BDC6C76" w14:textId="77777777" w:rsidR="00601D8D" w:rsidRDefault="00601D8D" w:rsidP="00DC6F69">
      <w:pPr>
        <w:ind w:left="2880" w:firstLine="720"/>
        <w:rPr>
          <w:rFonts w:ascii="Times New Roman" w:hAnsi="Times New Roman" w:cs="Times New Roman"/>
          <w:b/>
          <w:sz w:val="24"/>
          <w:szCs w:val="24"/>
        </w:rPr>
      </w:pPr>
    </w:p>
    <w:p w14:paraId="11FC0EE0" w14:textId="77777777" w:rsidR="00601D8D" w:rsidRDefault="00601D8D" w:rsidP="00DC6F69">
      <w:pPr>
        <w:ind w:left="2880" w:firstLine="720"/>
        <w:rPr>
          <w:rFonts w:ascii="Times New Roman" w:hAnsi="Times New Roman" w:cs="Times New Roman"/>
          <w:b/>
          <w:sz w:val="24"/>
          <w:szCs w:val="24"/>
        </w:rPr>
      </w:pPr>
    </w:p>
    <w:p w14:paraId="161E6ECD" w14:textId="5239E466" w:rsidR="00DC6F69" w:rsidRPr="00DC6F69" w:rsidRDefault="00C70C18" w:rsidP="00DC6F69">
      <w:pPr>
        <w:ind w:left="2880" w:firstLine="720"/>
        <w:rPr>
          <w:rFonts w:ascii="Times New Roman" w:hAnsi="Times New Roman" w:cs="Times New Roman"/>
          <w:b/>
          <w:sz w:val="24"/>
          <w:szCs w:val="24"/>
        </w:rPr>
      </w:pPr>
      <w:r w:rsidRPr="00DC6F69">
        <w:rPr>
          <w:rFonts w:ascii="Times New Roman" w:hAnsi="Times New Roman" w:cs="Times New Roman"/>
          <w:b/>
          <w:sz w:val="24"/>
          <w:szCs w:val="24"/>
        </w:rPr>
        <w:lastRenderedPageBreak/>
        <w:t>American Revolution</w:t>
      </w:r>
    </w:p>
    <w:p w14:paraId="288D5969" w14:textId="77777777" w:rsidR="00A42626" w:rsidRPr="00D4389C" w:rsidRDefault="00C70C18" w:rsidP="00D4389C">
      <w:pPr>
        <w:spacing w:line="480" w:lineRule="auto"/>
        <w:ind w:firstLine="720"/>
        <w:rPr>
          <w:rFonts w:ascii="Times New Roman" w:hAnsi="Times New Roman" w:cs="Times New Roman"/>
          <w:sz w:val="24"/>
          <w:szCs w:val="24"/>
        </w:rPr>
      </w:pPr>
      <w:r w:rsidRPr="00D4389C">
        <w:rPr>
          <w:rFonts w:ascii="Times New Roman" w:hAnsi="Times New Roman" w:cs="Times New Roman"/>
          <w:sz w:val="24"/>
          <w:szCs w:val="24"/>
        </w:rPr>
        <w:t xml:space="preserve">In 1759, a small band of British soldiers conquered and captured Quebec, the Canada French capital. </w:t>
      </w:r>
      <w:r w:rsidR="00F9497E" w:rsidRPr="00D4389C">
        <w:rPr>
          <w:rFonts w:ascii="Times New Roman" w:hAnsi="Times New Roman" w:cs="Times New Roman"/>
          <w:sz w:val="24"/>
          <w:szCs w:val="24"/>
        </w:rPr>
        <w:t>Their victory helped to increase the British territories in North America, followed by other victories i</w:t>
      </w:r>
      <w:r w:rsidR="008213B6">
        <w:rPr>
          <w:rFonts w:ascii="Times New Roman" w:hAnsi="Times New Roman" w:cs="Times New Roman"/>
          <w:sz w:val="24"/>
          <w:szCs w:val="24"/>
        </w:rPr>
        <w:t>n Asia, Europe, and West Indies</w:t>
      </w:r>
      <w:r>
        <w:rPr>
          <w:rStyle w:val="FootnoteReference"/>
          <w:rFonts w:ascii="Times New Roman" w:hAnsi="Times New Roman" w:cs="Times New Roman"/>
          <w:sz w:val="24"/>
          <w:szCs w:val="24"/>
        </w:rPr>
        <w:footnoteReference w:id="1"/>
      </w:r>
      <w:r w:rsidR="00F9497E" w:rsidRPr="00D4389C">
        <w:rPr>
          <w:rFonts w:ascii="Times New Roman" w:hAnsi="Times New Roman" w:cs="Times New Roman"/>
          <w:sz w:val="24"/>
          <w:szCs w:val="24"/>
        </w:rPr>
        <w:t>. By the end of 1763, the French government was completely defeated, leading to it agreeing to discuss terms with the British government at a peace table. The peace treaty resulted in France surrendering her claims to Canada. Also, France gave away most of In</w:t>
      </w:r>
      <w:r w:rsidR="008213B6">
        <w:rPr>
          <w:rFonts w:ascii="Times New Roman" w:hAnsi="Times New Roman" w:cs="Times New Roman"/>
          <w:sz w:val="24"/>
          <w:szCs w:val="24"/>
        </w:rPr>
        <w:t>dia, only keeping sugar islands</w:t>
      </w:r>
      <w:r>
        <w:rPr>
          <w:rStyle w:val="FootnoteReference"/>
          <w:rFonts w:ascii="Times New Roman" w:hAnsi="Times New Roman" w:cs="Times New Roman"/>
          <w:sz w:val="24"/>
          <w:szCs w:val="24"/>
        </w:rPr>
        <w:footnoteReference w:id="2"/>
      </w:r>
      <w:r w:rsidR="00F9497E" w:rsidRPr="00D4389C">
        <w:rPr>
          <w:rFonts w:ascii="Times New Roman" w:hAnsi="Times New Roman" w:cs="Times New Roman"/>
          <w:sz w:val="24"/>
          <w:szCs w:val="24"/>
        </w:rPr>
        <w:t>. England managed to claim the entire American territories north of Florida, West Indies, with Haiti, East of Mississippi, and I</w:t>
      </w:r>
      <w:r w:rsidR="008213B6">
        <w:rPr>
          <w:rFonts w:ascii="Times New Roman" w:hAnsi="Times New Roman" w:cs="Times New Roman"/>
          <w:sz w:val="24"/>
          <w:szCs w:val="24"/>
        </w:rPr>
        <w:t>ndia</w:t>
      </w:r>
      <w:r>
        <w:rPr>
          <w:rStyle w:val="FootnoteReference"/>
          <w:rFonts w:ascii="Times New Roman" w:hAnsi="Times New Roman" w:cs="Times New Roman"/>
          <w:sz w:val="24"/>
          <w:szCs w:val="24"/>
        </w:rPr>
        <w:footnoteReference w:id="3"/>
      </w:r>
      <w:r w:rsidR="00F9497E" w:rsidRPr="00D4389C">
        <w:rPr>
          <w:rFonts w:ascii="Times New Roman" w:hAnsi="Times New Roman" w:cs="Times New Roman"/>
          <w:sz w:val="24"/>
          <w:szCs w:val="24"/>
        </w:rPr>
        <w:t>.  The majority of these territories felt the peace treaty was promising</w:t>
      </w:r>
      <w:r w:rsidR="00E63010" w:rsidRPr="00D4389C">
        <w:rPr>
          <w:rFonts w:ascii="Times New Roman" w:hAnsi="Times New Roman" w:cs="Times New Roman"/>
          <w:sz w:val="24"/>
          <w:szCs w:val="24"/>
        </w:rPr>
        <w:t xml:space="preserve"> and rejoiced in this victory. Still, the British governme</w:t>
      </w:r>
      <w:bookmarkStart w:id="0" w:name="_GoBack"/>
      <w:bookmarkEnd w:id="0"/>
      <w:r w:rsidR="00E63010" w:rsidRPr="00D4389C">
        <w:rPr>
          <w:rFonts w:ascii="Times New Roman" w:hAnsi="Times New Roman" w:cs="Times New Roman"/>
          <w:sz w:val="24"/>
          <w:szCs w:val="24"/>
        </w:rPr>
        <w:t xml:space="preserve">nt faced major problems in managing these Colonies following the notable victories. </w:t>
      </w:r>
    </w:p>
    <w:p w14:paraId="51ABC7B1" w14:textId="77777777" w:rsidR="00C4248E" w:rsidRPr="00D4389C" w:rsidRDefault="00C70C18" w:rsidP="00D4389C">
      <w:pPr>
        <w:spacing w:line="480" w:lineRule="auto"/>
        <w:ind w:firstLine="720"/>
        <w:rPr>
          <w:rFonts w:ascii="Times New Roman" w:hAnsi="Times New Roman" w:cs="Times New Roman"/>
          <w:sz w:val="24"/>
          <w:szCs w:val="24"/>
        </w:rPr>
      </w:pPr>
      <w:r w:rsidRPr="00D4389C">
        <w:rPr>
          <w:rFonts w:ascii="Times New Roman" w:hAnsi="Times New Roman" w:cs="Times New Roman"/>
          <w:sz w:val="24"/>
          <w:szCs w:val="24"/>
        </w:rPr>
        <w:t xml:space="preserve">First, chief Pontiac, the leader of Ohio River Valley, gathered the tribes in the region and attacked the British forts that existed in the West. </w:t>
      </w:r>
      <w:r w:rsidR="00874A32" w:rsidRPr="00D4389C">
        <w:rPr>
          <w:rFonts w:ascii="Times New Roman" w:hAnsi="Times New Roman" w:cs="Times New Roman"/>
          <w:sz w:val="24"/>
          <w:szCs w:val="24"/>
        </w:rPr>
        <w:t xml:space="preserve">He planned the attack after realizing the defeat of his French allies. This would have led to British settlers </w:t>
      </w:r>
      <w:r w:rsidR="008213B6">
        <w:rPr>
          <w:rFonts w:ascii="Times New Roman" w:hAnsi="Times New Roman" w:cs="Times New Roman"/>
          <w:sz w:val="24"/>
          <w:szCs w:val="24"/>
        </w:rPr>
        <w:t>taking away his ancestral lands</w:t>
      </w:r>
      <w:r>
        <w:rPr>
          <w:rStyle w:val="FootnoteReference"/>
          <w:rFonts w:ascii="Times New Roman" w:hAnsi="Times New Roman" w:cs="Times New Roman"/>
          <w:sz w:val="24"/>
          <w:szCs w:val="24"/>
        </w:rPr>
        <w:footnoteReference w:id="4"/>
      </w:r>
      <w:r w:rsidR="00874A32" w:rsidRPr="00D4389C">
        <w:rPr>
          <w:rFonts w:ascii="Times New Roman" w:hAnsi="Times New Roman" w:cs="Times New Roman"/>
          <w:sz w:val="24"/>
          <w:szCs w:val="24"/>
        </w:rPr>
        <w:t xml:space="preserve">. The war resulted in the falling of Detroit and Duquesne, with many pioneers dying while survivors were running and abandoning their homesteads. Even with the English policymakers attempting to plans on developing Ohio Valley and some territories to the West, they still faced challenges </w:t>
      </w:r>
      <w:r w:rsidR="00874A32" w:rsidRPr="00D4389C">
        <w:rPr>
          <w:rFonts w:ascii="Times New Roman" w:hAnsi="Times New Roman" w:cs="Times New Roman"/>
          <w:sz w:val="24"/>
          <w:szCs w:val="24"/>
        </w:rPr>
        <w:lastRenderedPageBreak/>
        <w:t xml:space="preserve">managing the territories. Secondly, </w:t>
      </w:r>
      <w:r w:rsidR="009C4C1D" w:rsidRPr="00D4389C">
        <w:rPr>
          <w:rFonts w:ascii="Times New Roman" w:hAnsi="Times New Roman" w:cs="Times New Roman"/>
          <w:sz w:val="24"/>
          <w:szCs w:val="24"/>
        </w:rPr>
        <w:t xml:space="preserve">the colonists disobeyed the mercantile laws. These laws were meant to control their trade with England and other regions. Colonial shippers smuggled goods past the British warlords with goods worth more than £700000 </w:t>
      </w:r>
      <w:r w:rsidR="008213B6">
        <w:rPr>
          <w:rFonts w:ascii="Times New Roman" w:hAnsi="Times New Roman" w:cs="Times New Roman"/>
          <w:sz w:val="24"/>
          <w:szCs w:val="24"/>
        </w:rPr>
        <w:t>smuggled each year by colonists</w:t>
      </w:r>
      <w:r>
        <w:rPr>
          <w:rStyle w:val="FootnoteReference"/>
          <w:rFonts w:ascii="Times New Roman" w:hAnsi="Times New Roman" w:cs="Times New Roman"/>
          <w:sz w:val="24"/>
          <w:szCs w:val="24"/>
        </w:rPr>
        <w:footnoteReference w:id="5"/>
      </w:r>
      <w:r w:rsidR="009C4C1D" w:rsidRPr="00D4389C">
        <w:rPr>
          <w:rFonts w:ascii="Times New Roman" w:hAnsi="Times New Roman" w:cs="Times New Roman"/>
          <w:sz w:val="24"/>
          <w:szCs w:val="24"/>
        </w:rPr>
        <w:t xml:space="preserve">. The smuggling was a result of the inefficient and corrupt British custom service. They took bribes instead of collecting revenue, and smuggling cases were reported hence escaping punishment. </w:t>
      </w:r>
      <w:r w:rsidR="00F74FCD" w:rsidRPr="00D4389C">
        <w:rPr>
          <w:rFonts w:ascii="Times New Roman" w:hAnsi="Times New Roman" w:cs="Times New Roman"/>
          <w:sz w:val="24"/>
          <w:szCs w:val="24"/>
        </w:rPr>
        <w:t>Third, Britain had an estimated 10000 soldiers to defend the American colonists from any attack from the French and Native Americans</w:t>
      </w:r>
      <w:r>
        <w:rPr>
          <w:rStyle w:val="FootnoteReference"/>
          <w:rFonts w:ascii="Times New Roman" w:hAnsi="Times New Roman" w:cs="Times New Roman"/>
          <w:sz w:val="24"/>
          <w:szCs w:val="24"/>
        </w:rPr>
        <w:footnoteReference w:id="6"/>
      </w:r>
      <w:r w:rsidR="00F74FCD" w:rsidRPr="00D4389C">
        <w:rPr>
          <w:rFonts w:ascii="Times New Roman" w:hAnsi="Times New Roman" w:cs="Times New Roman"/>
          <w:sz w:val="24"/>
          <w:szCs w:val="24"/>
        </w:rPr>
        <w:t xml:space="preserve">. To </w:t>
      </w:r>
      <w:r w:rsidR="00126A10" w:rsidRPr="00D4389C">
        <w:rPr>
          <w:rFonts w:ascii="Times New Roman" w:hAnsi="Times New Roman" w:cs="Times New Roman"/>
          <w:sz w:val="24"/>
          <w:szCs w:val="24"/>
        </w:rPr>
        <w:t xml:space="preserve">maintain this large army cost </w:t>
      </w:r>
      <w:r w:rsidR="00F74FCD" w:rsidRPr="00D4389C">
        <w:rPr>
          <w:rFonts w:ascii="Times New Roman" w:hAnsi="Times New Roman" w:cs="Times New Roman"/>
          <w:sz w:val="24"/>
          <w:szCs w:val="24"/>
        </w:rPr>
        <w:t>£300000 annually</w:t>
      </w:r>
      <w:r>
        <w:rPr>
          <w:rStyle w:val="FootnoteReference"/>
          <w:rFonts w:ascii="Times New Roman" w:hAnsi="Times New Roman" w:cs="Times New Roman"/>
          <w:sz w:val="24"/>
          <w:szCs w:val="24"/>
        </w:rPr>
        <w:footnoteReference w:id="7"/>
      </w:r>
      <w:r w:rsidR="00F74FCD" w:rsidRPr="00D4389C">
        <w:rPr>
          <w:rFonts w:ascii="Times New Roman" w:hAnsi="Times New Roman" w:cs="Times New Roman"/>
          <w:sz w:val="24"/>
          <w:szCs w:val="24"/>
        </w:rPr>
        <w:t>. The amount was to be gained from colonists by paying taxes. During the French and Indian War, Britain spent £70000000 and this amount doubled the national debt to approximately £140000000</w:t>
      </w:r>
      <w:r>
        <w:rPr>
          <w:rStyle w:val="FootnoteReference"/>
          <w:rFonts w:ascii="Times New Roman" w:hAnsi="Times New Roman" w:cs="Times New Roman"/>
          <w:sz w:val="24"/>
          <w:szCs w:val="24"/>
        </w:rPr>
        <w:footnoteReference w:id="8"/>
      </w:r>
      <w:r w:rsidR="00F74FCD" w:rsidRPr="00D4389C">
        <w:rPr>
          <w:rFonts w:ascii="Times New Roman" w:hAnsi="Times New Roman" w:cs="Times New Roman"/>
          <w:sz w:val="24"/>
          <w:szCs w:val="24"/>
        </w:rPr>
        <w:t>. Britain struggled with the debt since the colonists only paid approximately 1/20</w:t>
      </w:r>
      <w:r w:rsidR="00F74FCD" w:rsidRPr="00D4389C">
        <w:rPr>
          <w:rFonts w:ascii="Times New Roman" w:hAnsi="Times New Roman" w:cs="Times New Roman"/>
          <w:sz w:val="24"/>
          <w:szCs w:val="24"/>
          <w:vertAlign w:val="superscript"/>
        </w:rPr>
        <w:t>th</w:t>
      </w:r>
      <w:r w:rsidR="00F74FCD" w:rsidRPr="00D4389C">
        <w:rPr>
          <w:rFonts w:ascii="Times New Roman" w:hAnsi="Times New Roman" w:cs="Times New Roman"/>
          <w:sz w:val="24"/>
          <w:szCs w:val="24"/>
        </w:rPr>
        <w:t xml:space="preserve"> of the total required taxes. The colonists felt no need to pay England to fight a war they never started and to keep the British Empire. </w:t>
      </w:r>
    </w:p>
    <w:p w14:paraId="4618B422" w14:textId="77777777" w:rsidR="00C4248E" w:rsidRPr="00D4389C" w:rsidRDefault="00F74FCD" w:rsidP="00D4389C">
      <w:pPr>
        <w:spacing w:line="480" w:lineRule="auto"/>
        <w:ind w:firstLine="720"/>
        <w:rPr>
          <w:rFonts w:ascii="Times New Roman" w:hAnsi="Times New Roman" w:cs="Times New Roman"/>
          <w:sz w:val="24"/>
          <w:szCs w:val="24"/>
        </w:rPr>
      </w:pPr>
      <w:r w:rsidRPr="00D4389C">
        <w:rPr>
          <w:rFonts w:ascii="Times New Roman" w:hAnsi="Times New Roman" w:cs="Times New Roman"/>
          <w:sz w:val="24"/>
          <w:szCs w:val="24"/>
        </w:rPr>
        <w:tab/>
      </w:r>
      <w:r w:rsidR="006E23FF" w:rsidRPr="00D4389C">
        <w:rPr>
          <w:rFonts w:ascii="Times New Roman" w:hAnsi="Times New Roman" w:cs="Times New Roman"/>
          <w:sz w:val="24"/>
          <w:szCs w:val="24"/>
        </w:rPr>
        <w:t xml:space="preserve">Britain attempted to look for solutions to the problems. </w:t>
      </w:r>
      <w:r w:rsidR="00EC38F9" w:rsidRPr="00D4389C">
        <w:rPr>
          <w:rFonts w:ascii="Times New Roman" w:hAnsi="Times New Roman" w:cs="Times New Roman"/>
          <w:sz w:val="24"/>
          <w:szCs w:val="24"/>
        </w:rPr>
        <w:t>First, to solve the issue on Western lands, there was the proclamation of 1763. It stopped the American colonists from living and buying land west of the ridge along the Appalachian Mountains</w:t>
      </w:r>
      <w:r w:rsidR="00C70C18">
        <w:rPr>
          <w:rStyle w:val="FootnoteReference"/>
          <w:rFonts w:ascii="Times New Roman" w:hAnsi="Times New Roman" w:cs="Times New Roman"/>
          <w:sz w:val="24"/>
          <w:szCs w:val="24"/>
        </w:rPr>
        <w:footnoteReference w:id="9"/>
      </w:r>
      <w:r w:rsidR="00EC38F9" w:rsidRPr="00D4389C">
        <w:rPr>
          <w:rFonts w:ascii="Times New Roman" w:hAnsi="Times New Roman" w:cs="Times New Roman"/>
          <w:sz w:val="24"/>
          <w:szCs w:val="24"/>
        </w:rPr>
        <w:t xml:space="preserve">. All colonists who lived in these areas like Ohio, Kentucky and others in the West were forced to sell their lands and return. The British government ensured that there are 10000 soldiers protecting the colonists </w:t>
      </w:r>
      <w:r w:rsidR="00EC38F9" w:rsidRPr="00D4389C">
        <w:rPr>
          <w:rFonts w:ascii="Times New Roman" w:hAnsi="Times New Roman" w:cs="Times New Roman"/>
          <w:sz w:val="24"/>
          <w:szCs w:val="24"/>
        </w:rPr>
        <w:lastRenderedPageBreak/>
        <w:t>in North America from any possible attack from France, Na</w:t>
      </w:r>
      <w:r w:rsidR="008213B6">
        <w:rPr>
          <w:rFonts w:ascii="Times New Roman" w:hAnsi="Times New Roman" w:cs="Times New Roman"/>
          <w:sz w:val="24"/>
          <w:szCs w:val="24"/>
        </w:rPr>
        <w:t>tive American tribes, and Spain</w:t>
      </w:r>
      <w:r w:rsidR="00C70C18">
        <w:rPr>
          <w:rStyle w:val="FootnoteReference"/>
          <w:rFonts w:ascii="Times New Roman" w:hAnsi="Times New Roman" w:cs="Times New Roman"/>
          <w:sz w:val="24"/>
          <w:szCs w:val="24"/>
        </w:rPr>
        <w:footnoteReference w:id="10"/>
      </w:r>
      <w:r w:rsidR="00EC38F9" w:rsidRPr="00D4389C">
        <w:rPr>
          <w:rFonts w:ascii="Times New Roman" w:hAnsi="Times New Roman" w:cs="Times New Roman"/>
          <w:sz w:val="24"/>
          <w:szCs w:val="24"/>
        </w:rPr>
        <w:t>. Also, Britain enacted the Quartering Act of 1765 that offered help to the colonists who were to support the troops in America. Secondly, in relation to trade regulation problems, there was the Writ of Assistance, 1761, that gave customs agents the mandate of searching an</w:t>
      </w:r>
      <w:r w:rsidR="008213B6">
        <w:rPr>
          <w:rFonts w:ascii="Times New Roman" w:hAnsi="Times New Roman" w:cs="Times New Roman"/>
          <w:sz w:val="24"/>
          <w:szCs w:val="24"/>
        </w:rPr>
        <w:t>d inspecting for smuggled goods</w:t>
      </w:r>
      <w:r w:rsidR="00C70C18">
        <w:rPr>
          <w:rStyle w:val="FootnoteReference"/>
          <w:rFonts w:ascii="Times New Roman" w:hAnsi="Times New Roman" w:cs="Times New Roman"/>
          <w:sz w:val="24"/>
          <w:szCs w:val="24"/>
        </w:rPr>
        <w:footnoteReference w:id="11"/>
      </w:r>
      <w:r w:rsidR="00EC38F9" w:rsidRPr="00D4389C">
        <w:rPr>
          <w:rFonts w:ascii="Times New Roman" w:hAnsi="Times New Roman" w:cs="Times New Roman"/>
          <w:sz w:val="24"/>
          <w:szCs w:val="24"/>
        </w:rPr>
        <w:t>. They were</w:t>
      </w:r>
      <w:r w:rsidR="00B75700" w:rsidRPr="00D4389C">
        <w:rPr>
          <w:rFonts w:ascii="Times New Roman" w:hAnsi="Times New Roman" w:cs="Times New Roman"/>
          <w:sz w:val="24"/>
          <w:szCs w:val="24"/>
        </w:rPr>
        <w:t xml:space="preserve"> to search in private homes without securing a search warrant. </w:t>
      </w:r>
      <w:r w:rsidR="00EC2DD8" w:rsidRPr="00D4389C">
        <w:rPr>
          <w:rFonts w:ascii="Times New Roman" w:hAnsi="Times New Roman" w:cs="Times New Roman"/>
          <w:sz w:val="24"/>
          <w:szCs w:val="24"/>
        </w:rPr>
        <w:t>The sugar Act, 1764, was enacted focusing on the reduction of taxes on molasses by 3 pence per gallon. This was to make sugar smuggling less profitable. The British government expanded the jurisdiction of Admiralty courts by including cases like colonist accused of smuggling, trade regulation cases, and the accuse</w:t>
      </w:r>
      <w:r w:rsidR="008213B6">
        <w:rPr>
          <w:rFonts w:ascii="Times New Roman" w:hAnsi="Times New Roman" w:cs="Times New Roman"/>
          <w:sz w:val="24"/>
          <w:szCs w:val="24"/>
        </w:rPr>
        <w:t>d could be tried before a judge</w:t>
      </w:r>
      <w:r w:rsidR="00C70C18">
        <w:rPr>
          <w:rStyle w:val="FootnoteReference"/>
          <w:rFonts w:ascii="Times New Roman" w:hAnsi="Times New Roman" w:cs="Times New Roman"/>
          <w:sz w:val="24"/>
          <w:szCs w:val="24"/>
        </w:rPr>
        <w:footnoteReference w:id="12"/>
      </w:r>
      <w:r w:rsidR="00EC2DD8" w:rsidRPr="00D4389C">
        <w:rPr>
          <w:rFonts w:ascii="Times New Roman" w:hAnsi="Times New Roman" w:cs="Times New Roman"/>
          <w:sz w:val="24"/>
          <w:szCs w:val="24"/>
        </w:rPr>
        <w:t>.</w:t>
      </w:r>
      <w:r w:rsidR="00EE0065" w:rsidRPr="00D4389C">
        <w:rPr>
          <w:rFonts w:ascii="Times New Roman" w:hAnsi="Times New Roman" w:cs="Times New Roman"/>
          <w:sz w:val="24"/>
          <w:szCs w:val="24"/>
        </w:rPr>
        <w:t xml:space="preserve"> Moreover, the British Navy was given the directive to help customs officials </w:t>
      </w:r>
      <w:r w:rsidR="00C70C18" w:rsidRPr="00D4389C">
        <w:rPr>
          <w:rFonts w:ascii="Times New Roman" w:hAnsi="Times New Roman" w:cs="Times New Roman"/>
          <w:sz w:val="24"/>
          <w:szCs w:val="24"/>
        </w:rPr>
        <w:t>to foster trade regulations. Thirdly, the Stamp Act, 1765 placed taxes on legal documents, playing cards, and dice. The tax was meant to raise approximately £100000</w:t>
      </w:r>
      <w:r w:rsidR="00C70C18">
        <w:rPr>
          <w:rStyle w:val="FootnoteReference"/>
          <w:rFonts w:ascii="Times New Roman" w:hAnsi="Times New Roman" w:cs="Times New Roman"/>
          <w:sz w:val="24"/>
          <w:szCs w:val="24"/>
        </w:rPr>
        <w:footnoteReference w:id="13"/>
      </w:r>
      <w:r w:rsidR="00C70C18" w:rsidRPr="00D4389C">
        <w:rPr>
          <w:rFonts w:ascii="Times New Roman" w:hAnsi="Times New Roman" w:cs="Times New Roman"/>
          <w:sz w:val="24"/>
          <w:szCs w:val="24"/>
        </w:rPr>
        <w:t xml:space="preserve">. The Sugar Act, 1764, lowered molasses tax even though, at first, it was meant to raise revenue in contrast to regulating trade. </w:t>
      </w:r>
    </w:p>
    <w:p w14:paraId="3CC3463B" w14:textId="77777777" w:rsidR="00633574" w:rsidRPr="00D4389C" w:rsidRDefault="00C70C18" w:rsidP="00D4389C">
      <w:pPr>
        <w:spacing w:line="480" w:lineRule="auto"/>
        <w:ind w:firstLine="720"/>
        <w:rPr>
          <w:rFonts w:ascii="Times New Roman" w:hAnsi="Times New Roman" w:cs="Times New Roman"/>
          <w:sz w:val="24"/>
          <w:szCs w:val="24"/>
        </w:rPr>
      </w:pPr>
      <w:r w:rsidRPr="00D4389C">
        <w:rPr>
          <w:rFonts w:ascii="Times New Roman" w:hAnsi="Times New Roman" w:cs="Times New Roman"/>
          <w:sz w:val="24"/>
          <w:szCs w:val="24"/>
        </w:rPr>
        <w:t>In the 1765 Stamp Act, the colonists harshly treated the stamp distributors, boycotted the British goods, and prepared a decla</w:t>
      </w:r>
      <w:r w:rsidR="008213B6">
        <w:rPr>
          <w:rFonts w:ascii="Times New Roman" w:hAnsi="Times New Roman" w:cs="Times New Roman"/>
          <w:sz w:val="24"/>
          <w:szCs w:val="24"/>
        </w:rPr>
        <w:t>ration of Rights and Grievances</w:t>
      </w:r>
      <w:r>
        <w:rPr>
          <w:rStyle w:val="FootnoteReference"/>
          <w:rFonts w:ascii="Times New Roman" w:hAnsi="Times New Roman" w:cs="Times New Roman"/>
          <w:sz w:val="24"/>
          <w:szCs w:val="24"/>
        </w:rPr>
        <w:footnoteReference w:id="14"/>
      </w:r>
      <w:r w:rsidRPr="00D4389C">
        <w:rPr>
          <w:rFonts w:ascii="Times New Roman" w:hAnsi="Times New Roman" w:cs="Times New Roman"/>
          <w:sz w:val="24"/>
          <w:szCs w:val="24"/>
        </w:rPr>
        <w:t xml:space="preserve">. In the Townshend Acts, 1767, the colonists protested against taxation without having any representation. They organized and boycotted any new imported goods from Britain. In the Boston Massacre, 1770, the colonial </w:t>
      </w:r>
      <w:r w:rsidRPr="00D4389C">
        <w:rPr>
          <w:rFonts w:ascii="Times New Roman" w:hAnsi="Times New Roman" w:cs="Times New Roman"/>
          <w:sz w:val="24"/>
          <w:szCs w:val="24"/>
        </w:rPr>
        <w:lastRenderedPageBreak/>
        <w:t>protestors</w:t>
      </w:r>
      <w:r w:rsidR="000B2849" w:rsidRPr="00D4389C">
        <w:rPr>
          <w:rFonts w:ascii="Times New Roman" w:hAnsi="Times New Roman" w:cs="Times New Roman"/>
          <w:sz w:val="24"/>
          <w:szCs w:val="24"/>
        </w:rPr>
        <w:t xml:space="preserve"> l</w:t>
      </w:r>
      <w:r w:rsidR="008213B6">
        <w:rPr>
          <w:rFonts w:ascii="Times New Roman" w:hAnsi="Times New Roman" w:cs="Times New Roman"/>
          <w:sz w:val="24"/>
          <w:szCs w:val="24"/>
        </w:rPr>
        <w:t>abelled the conflict a massacre</w:t>
      </w:r>
      <w:r>
        <w:rPr>
          <w:rStyle w:val="FootnoteReference"/>
          <w:rFonts w:ascii="Times New Roman" w:hAnsi="Times New Roman" w:cs="Times New Roman"/>
          <w:sz w:val="24"/>
          <w:szCs w:val="24"/>
        </w:rPr>
        <w:footnoteReference w:id="15"/>
      </w:r>
      <w:r w:rsidR="000B2849" w:rsidRPr="00D4389C">
        <w:rPr>
          <w:rFonts w:ascii="Times New Roman" w:hAnsi="Times New Roman" w:cs="Times New Roman"/>
          <w:sz w:val="24"/>
          <w:szCs w:val="24"/>
        </w:rPr>
        <w:t>. They published the dramatic situation that portrayed and depicted the harshness of the violence. The Tea Act, 1773, the colonists in Boston protested and enforced the dumping of 18000 pounds of tea pro</w:t>
      </w:r>
      <w:r w:rsidR="008213B6">
        <w:rPr>
          <w:rFonts w:ascii="Times New Roman" w:hAnsi="Times New Roman" w:cs="Times New Roman"/>
          <w:sz w:val="24"/>
          <w:szCs w:val="24"/>
        </w:rPr>
        <w:t>duced by the East India Company</w:t>
      </w:r>
      <w:r>
        <w:rPr>
          <w:rStyle w:val="FootnoteReference"/>
          <w:rFonts w:ascii="Times New Roman" w:hAnsi="Times New Roman" w:cs="Times New Roman"/>
          <w:sz w:val="24"/>
          <w:szCs w:val="24"/>
        </w:rPr>
        <w:footnoteReference w:id="16"/>
      </w:r>
      <w:r w:rsidR="000B2849" w:rsidRPr="00D4389C">
        <w:rPr>
          <w:rFonts w:ascii="Times New Roman" w:hAnsi="Times New Roman" w:cs="Times New Roman"/>
          <w:sz w:val="24"/>
          <w:szCs w:val="24"/>
        </w:rPr>
        <w:t xml:space="preserve">. The tea was dumped into Boston Harbor as a prove of their anger. The Intolerable Acts, 1774, where King George III had tightened the control over Massachusetts by quartering Troops and closing the Boston harbour, lead to colonial leaders organizing the first continental congress, after which they developed a declaration of colonial rights. Lastly, the Lexington and Concord British action, 1775, involved General Gage, who ordered troops to march to Massachusetts and Concord to take hold of the colonial weapons, resulted in minutemen </w:t>
      </w:r>
      <w:r w:rsidR="006962BA" w:rsidRPr="00D4389C">
        <w:rPr>
          <w:rFonts w:ascii="Times New Roman" w:hAnsi="Times New Roman" w:cs="Times New Roman"/>
          <w:sz w:val="24"/>
          <w:szCs w:val="24"/>
        </w:rPr>
        <w:t>intercepting the British and engaging in a war that started at Lexington, after which it ended at Concord</w:t>
      </w:r>
      <w:r>
        <w:rPr>
          <w:rStyle w:val="FootnoteReference"/>
          <w:rFonts w:ascii="Times New Roman" w:hAnsi="Times New Roman" w:cs="Times New Roman"/>
          <w:sz w:val="24"/>
          <w:szCs w:val="24"/>
        </w:rPr>
        <w:footnoteReference w:id="17"/>
      </w:r>
      <w:r w:rsidR="006962BA" w:rsidRPr="00D4389C">
        <w:rPr>
          <w:rFonts w:ascii="Times New Roman" w:hAnsi="Times New Roman" w:cs="Times New Roman"/>
          <w:sz w:val="24"/>
          <w:szCs w:val="24"/>
        </w:rPr>
        <w:t xml:space="preserve">. </w:t>
      </w:r>
    </w:p>
    <w:p w14:paraId="2A6A2305" w14:textId="77777777" w:rsidR="007843C6" w:rsidRPr="00D4389C" w:rsidRDefault="00C70C18" w:rsidP="00D4389C">
      <w:pPr>
        <w:spacing w:line="480" w:lineRule="auto"/>
        <w:ind w:firstLine="720"/>
        <w:rPr>
          <w:rFonts w:ascii="Times New Roman" w:hAnsi="Times New Roman" w:cs="Times New Roman"/>
          <w:sz w:val="24"/>
          <w:szCs w:val="24"/>
        </w:rPr>
      </w:pPr>
      <w:r w:rsidRPr="00D4389C">
        <w:rPr>
          <w:rFonts w:ascii="Times New Roman" w:hAnsi="Times New Roman" w:cs="Times New Roman"/>
          <w:sz w:val="24"/>
          <w:szCs w:val="24"/>
        </w:rPr>
        <w:t xml:space="preserve">Independence was not inevitable whatsoever. The victory of the British government was intended to turn the American colonies into their own. The intentions were to make the colonies another Ireland, but in early </w:t>
      </w:r>
      <w:r w:rsidR="00D4389C" w:rsidRPr="00D4389C">
        <w:rPr>
          <w:rFonts w:ascii="Times New Roman" w:hAnsi="Times New Roman" w:cs="Times New Roman"/>
          <w:sz w:val="24"/>
          <w:szCs w:val="24"/>
        </w:rPr>
        <w:t>1775</w:t>
      </w:r>
      <w:r w:rsidRPr="00D4389C">
        <w:rPr>
          <w:rFonts w:ascii="Times New Roman" w:hAnsi="Times New Roman" w:cs="Times New Roman"/>
          <w:sz w:val="24"/>
          <w:szCs w:val="24"/>
        </w:rPr>
        <w:t>, the British had pushed the line that the Native Americans were not the actual Englishmen. Britain achieved some sort of reunification and peace after the entire process of fighting for colonies.</w:t>
      </w:r>
    </w:p>
    <w:p w14:paraId="44CE4BA3" w14:textId="77777777" w:rsidR="00D4389C" w:rsidRDefault="00D4389C" w:rsidP="00D4389C">
      <w:pPr>
        <w:spacing w:line="480" w:lineRule="auto"/>
        <w:ind w:left="2880" w:firstLine="720"/>
        <w:rPr>
          <w:rFonts w:ascii="Times New Roman" w:hAnsi="Times New Roman" w:cs="Times New Roman"/>
          <w:sz w:val="24"/>
          <w:szCs w:val="24"/>
        </w:rPr>
      </w:pPr>
    </w:p>
    <w:p w14:paraId="3938775E" w14:textId="77777777" w:rsidR="00873212" w:rsidRDefault="00873212" w:rsidP="00C646DF">
      <w:pPr>
        <w:spacing w:line="480" w:lineRule="auto"/>
        <w:rPr>
          <w:rFonts w:ascii="Times New Roman" w:hAnsi="Times New Roman" w:cs="Times New Roman"/>
          <w:sz w:val="24"/>
          <w:szCs w:val="24"/>
        </w:rPr>
      </w:pPr>
    </w:p>
    <w:p w14:paraId="4648321B" w14:textId="77777777" w:rsidR="00C646DF" w:rsidRDefault="00C646DF" w:rsidP="00C646DF">
      <w:pPr>
        <w:spacing w:line="480" w:lineRule="auto"/>
        <w:rPr>
          <w:rFonts w:ascii="Times New Roman" w:hAnsi="Times New Roman" w:cs="Times New Roman"/>
          <w:sz w:val="24"/>
          <w:szCs w:val="24"/>
        </w:rPr>
      </w:pPr>
    </w:p>
    <w:p w14:paraId="5AB7114B" w14:textId="591EB646" w:rsidR="007843C6" w:rsidRPr="00057DC2" w:rsidRDefault="00057DC2" w:rsidP="00D4389C">
      <w:pPr>
        <w:spacing w:line="480" w:lineRule="auto"/>
        <w:ind w:left="2880" w:firstLine="720"/>
        <w:rPr>
          <w:rFonts w:ascii="Times New Roman" w:hAnsi="Times New Roman" w:cs="Times New Roman"/>
          <w:b/>
          <w:bCs/>
          <w:sz w:val="24"/>
          <w:szCs w:val="24"/>
        </w:rPr>
      </w:pPr>
      <w:r w:rsidRPr="00057DC2">
        <w:rPr>
          <w:rFonts w:ascii="Times New Roman" w:hAnsi="Times New Roman" w:cs="Times New Roman"/>
          <w:b/>
          <w:bCs/>
          <w:sz w:val="24"/>
          <w:szCs w:val="24"/>
        </w:rPr>
        <w:lastRenderedPageBreak/>
        <w:t xml:space="preserve">Bibliography </w:t>
      </w:r>
    </w:p>
    <w:p w14:paraId="3C1F6222" w14:textId="77777777" w:rsidR="006857D7" w:rsidRDefault="00C70C18" w:rsidP="00524724">
      <w:pPr>
        <w:spacing w:line="480" w:lineRule="auto"/>
        <w:ind w:left="720" w:hanging="720"/>
        <w:rPr>
          <w:rFonts w:ascii="Times New Roman" w:hAnsi="Times New Roman" w:cs="Times New Roman"/>
          <w:sz w:val="24"/>
          <w:szCs w:val="24"/>
        </w:rPr>
      </w:pPr>
      <w:r w:rsidRPr="006857D7">
        <w:rPr>
          <w:rFonts w:ascii="Times New Roman" w:hAnsi="Times New Roman" w:cs="Times New Roman"/>
          <w:sz w:val="24"/>
          <w:szCs w:val="24"/>
        </w:rPr>
        <w:t>Burk, Kathleen, ed. </w:t>
      </w:r>
      <w:r w:rsidRPr="006857D7">
        <w:rPr>
          <w:rFonts w:ascii="Times New Roman" w:hAnsi="Times New Roman" w:cs="Times New Roman"/>
          <w:i/>
          <w:iCs/>
          <w:sz w:val="24"/>
          <w:szCs w:val="24"/>
        </w:rPr>
        <w:t>War and the State (RLE The First World War): The Transformation of British Government, 1914-1919</w:t>
      </w:r>
      <w:r w:rsidRPr="006857D7">
        <w:rPr>
          <w:rFonts w:ascii="Times New Roman" w:hAnsi="Times New Roman" w:cs="Times New Roman"/>
          <w:sz w:val="24"/>
          <w:szCs w:val="24"/>
        </w:rPr>
        <w:t>. Routledge, 2014.</w:t>
      </w:r>
    </w:p>
    <w:p w14:paraId="1B047DCF" w14:textId="77777777" w:rsidR="006857D7" w:rsidRDefault="00C70C18" w:rsidP="00524724">
      <w:pPr>
        <w:spacing w:line="480" w:lineRule="auto"/>
        <w:ind w:left="720" w:hanging="720"/>
        <w:rPr>
          <w:rFonts w:ascii="Times New Roman" w:hAnsi="Times New Roman" w:cs="Times New Roman"/>
          <w:sz w:val="24"/>
          <w:szCs w:val="24"/>
        </w:rPr>
      </w:pPr>
      <w:r w:rsidRPr="006857D7">
        <w:rPr>
          <w:rFonts w:ascii="Times New Roman" w:hAnsi="Times New Roman" w:cs="Times New Roman"/>
          <w:sz w:val="24"/>
          <w:szCs w:val="24"/>
        </w:rPr>
        <w:t>Wilson, James Q., John J. DiIulio Jr, Meena Bose, and Matthew S. Levendusky. </w:t>
      </w:r>
      <w:r w:rsidRPr="006857D7">
        <w:rPr>
          <w:rFonts w:ascii="Times New Roman" w:hAnsi="Times New Roman" w:cs="Times New Roman"/>
          <w:i/>
          <w:iCs/>
          <w:sz w:val="24"/>
          <w:szCs w:val="24"/>
        </w:rPr>
        <w:t>American government: Institutions and policies</w:t>
      </w:r>
      <w:r w:rsidRPr="006857D7">
        <w:rPr>
          <w:rFonts w:ascii="Times New Roman" w:hAnsi="Times New Roman" w:cs="Times New Roman"/>
          <w:sz w:val="24"/>
          <w:szCs w:val="24"/>
        </w:rPr>
        <w:t>. Cengage Learning, 2021.</w:t>
      </w:r>
    </w:p>
    <w:p w14:paraId="165B1E4E" w14:textId="77777777" w:rsidR="006857D7" w:rsidRDefault="00C70C18" w:rsidP="00524724">
      <w:pPr>
        <w:spacing w:line="480" w:lineRule="auto"/>
        <w:ind w:left="720" w:hanging="720"/>
        <w:rPr>
          <w:rFonts w:ascii="Times New Roman" w:hAnsi="Times New Roman" w:cs="Times New Roman"/>
          <w:sz w:val="24"/>
          <w:szCs w:val="24"/>
        </w:rPr>
      </w:pPr>
      <w:r w:rsidRPr="006857D7">
        <w:rPr>
          <w:rFonts w:ascii="Times New Roman" w:hAnsi="Times New Roman" w:cs="Times New Roman"/>
          <w:sz w:val="24"/>
          <w:szCs w:val="24"/>
        </w:rPr>
        <w:t>Djankov, Simeon, and Elena Nikolova. "Communism as the unhappy coming." </w:t>
      </w:r>
      <w:r w:rsidRPr="006857D7">
        <w:rPr>
          <w:rFonts w:ascii="Times New Roman" w:hAnsi="Times New Roman" w:cs="Times New Roman"/>
          <w:i/>
          <w:iCs/>
          <w:sz w:val="24"/>
          <w:szCs w:val="24"/>
        </w:rPr>
        <w:t>Journal of Comparative Economics</w:t>
      </w:r>
      <w:r w:rsidRPr="006857D7">
        <w:rPr>
          <w:rFonts w:ascii="Times New Roman" w:hAnsi="Times New Roman" w:cs="Times New Roman"/>
          <w:sz w:val="24"/>
          <w:szCs w:val="24"/>
        </w:rPr>
        <w:t> 46, no. 3 (2018): 708-721.</w:t>
      </w:r>
    </w:p>
    <w:p w14:paraId="40A66157" w14:textId="77777777" w:rsidR="006857D7" w:rsidRDefault="00C70C18" w:rsidP="00524724">
      <w:pPr>
        <w:spacing w:line="480" w:lineRule="auto"/>
        <w:ind w:left="720" w:hanging="720"/>
        <w:rPr>
          <w:rFonts w:ascii="Times New Roman" w:hAnsi="Times New Roman" w:cs="Times New Roman"/>
          <w:sz w:val="24"/>
          <w:szCs w:val="24"/>
        </w:rPr>
      </w:pPr>
      <w:r w:rsidRPr="006857D7">
        <w:rPr>
          <w:rFonts w:ascii="Times New Roman" w:hAnsi="Times New Roman" w:cs="Times New Roman"/>
          <w:sz w:val="24"/>
          <w:szCs w:val="24"/>
        </w:rPr>
        <w:t>Skalenko, Nicole. "William Livingston and the Stamp Act Crisis of 1765." </w:t>
      </w:r>
      <w:r w:rsidRPr="006857D7">
        <w:rPr>
          <w:rFonts w:ascii="Times New Roman" w:hAnsi="Times New Roman" w:cs="Times New Roman"/>
          <w:i/>
          <w:iCs/>
          <w:sz w:val="24"/>
          <w:szCs w:val="24"/>
        </w:rPr>
        <w:t>The Macksey Journal</w:t>
      </w:r>
      <w:r w:rsidRPr="006857D7">
        <w:rPr>
          <w:rFonts w:ascii="Times New Roman" w:hAnsi="Times New Roman" w:cs="Times New Roman"/>
          <w:sz w:val="24"/>
          <w:szCs w:val="24"/>
        </w:rPr>
        <w:t> 1, no. 1 (2020): 21902.</w:t>
      </w:r>
    </w:p>
    <w:p w14:paraId="49F119A0" w14:textId="77777777" w:rsidR="006857D7" w:rsidRDefault="00C70C18" w:rsidP="00524724">
      <w:pPr>
        <w:spacing w:line="480" w:lineRule="auto"/>
        <w:ind w:left="720" w:hanging="720"/>
        <w:rPr>
          <w:rFonts w:ascii="Times New Roman" w:hAnsi="Times New Roman" w:cs="Times New Roman"/>
          <w:sz w:val="24"/>
          <w:szCs w:val="24"/>
        </w:rPr>
      </w:pPr>
      <w:r w:rsidRPr="006857D7">
        <w:rPr>
          <w:rFonts w:ascii="Times New Roman" w:hAnsi="Times New Roman" w:cs="Times New Roman"/>
          <w:sz w:val="24"/>
          <w:szCs w:val="24"/>
        </w:rPr>
        <w:t>Fitch, Coleman. "The Crisis of Legitimacy: Resistance, Unity, and the Stamp Act of 1765, 1763–1766." </w:t>
      </w:r>
      <w:r w:rsidRPr="006857D7">
        <w:rPr>
          <w:rFonts w:ascii="Times New Roman" w:hAnsi="Times New Roman" w:cs="Times New Roman"/>
          <w:i/>
          <w:iCs/>
          <w:sz w:val="24"/>
          <w:szCs w:val="24"/>
        </w:rPr>
        <w:t>Legacy</w:t>
      </w:r>
      <w:r w:rsidRPr="006857D7">
        <w:rPr>
          <w:rFonts w:ascii="Times New Roman" w:hAnsi="Times New Roman" w:cs="Times New Roman"/>
          <w:sz w:val="24"/>
          <w:szCs w:val="24"/>
        </w:rPr>
        <w:t> 17, no. 1: 4.</w:t>
      </w:r>
    </w:p>
    <w:p w14:paraId="4170F2DB" w14:textId="77777777" w:rsidR="00524724" w:rsidRDefault="00C70C18" w:rsidP="00524724">
      <w:pPr>
        <w:spacing w:line="480" w:lineRule="auto"/>
        <w:ind w:left="720" w:hanging="720"/>
        <w:rPr>
          <w:rFonts w:ascii="Times New Roman" w:hAnsi="Times New Roman" w:cs="Times New Roman"/>
          <w:sz w:val="24"/>
          <w:szCs w:val="24"/>
        </w:rPr>
      </w:pPr>
      <w:r w:rsidRPr="00524724">
        <w:rPr>
          <w:rFonts w:ascii="Times New Roman" w:hAnsi="Times New Roman" w:cs="Times New Roman"/>
          <w:sz w:val="24"/>
          <w:szCs w:val="24"/>
        </w:rPr>
        <w:t>Shain, Barry Alan. "ACT II: RESPONSE TO THE COERCIVE ACTS, 1774." In </w:t>
      </w:r>
      <w:r w:rsidRPr="00524724">
        <w:rPr>
          <w:rFonts w:ascii="Times New Roman" w:hAnsi="Times New Roman" w:cs="Times New Roman"/>
          <w:i/>
          <w:iCs/>
          <w:sz w:val="24"/>
          <w:szCs w:val="24"/>
        </w:rPr>
        <w:t>The Declaration of Independence in Historical Context</w:t>
      </w:r>
      <w:r w:rsidRPr="00524724">
        <w:rPr>
          <w:rFonts w:ascii="Times New Roman" w:hAnsi="Times New Roman" w:cs="Times New Roman"/>
          <w:sz w:val="24"/>
          <w:szCs w:val="24"/>
        </w:rPr>
        <w:t>, pp. 133-252. Yale University Press, 2014.</w:t>
      </w:r>
    </w:p>
    <w:p w14:paraId="25218C55" w14:textId="77777777" w:rsidR="00524724" w:rsidRDefault="00C70C18" w:rsidP="00524724">
      <w:pPr>
        <w:spacing w:line="480" w:lineRule="auto"/>
        <w:ind w:left="720" w:hanging="720"/>
        <w:rPr>
          <w:rFonts w:ascii="Times New Roman" w:hAnsi="Times New Roman" w:cs="Times New Roman"/>
          <w:sz w:val="24"/>
          <w:szCs w:val="24"/>
        </w:rPr>
      </w:pPr>
      <w:r w:rsidRPr="00524724">
        <w:rPr>
          <w:rFonts w:ascii="Times New Roman" w:hAnsi="Times New Roman" w:cs="Times New Roman"/>
          <w:sz w:val="24"/>
          <w:szCs w:val="24"/>
        </w:rPr>
        <w:t>Vine, Ben. "American Spring: Lexington, Concord, and the Road to Revolution." (2015): 348-350.</w:t>
      </w:r>
    </w:p>
    <w:p w14:paraId="13116B61" w14:textId="77777777" w:rsidR="00524724" w:rsidRDefault="00C70C18" w:rsidP="00524724">
      <w:pPr>
        <w:spacing w:line="480" w:lineRule="auto"/>
        <w:ind w:left="720" w:hanging="720"/>
        <w:rPr>
          <w:rFonts w:ascii="Times New Roman" w:hAnsi="Times New Roman" w:cs="Times New Roman"/>
          <w:sz w:val="24"/>
          <w:szCs w:val="24"/>
        </w:rPr>
      </w:pPr>
      <w:r w:rsidRPr="00524724">
        <w:rPr>
          <w:rFonts w:ascii="Times New Roman" w:hAnsi="Times New Roman" w:cs="Times New Roman"/>
          <w:sz w:val="24"/>
          <w:szCs w:val="24"/>
        </w:rPr>
        <w:t>Tiedemann, Joseph S. "Chapter Eight. The Tea Act And The Coercive Acts." In </w:t>
      </w:r>
      <w:r w:rsidRPr="00524724">
        <w:rPr>
          <w:rFonts w:ascii="Times New Roman" w:hAnsi="Times New Roman" w:cs="Times New Roman"/>
          <w:i/>
          <w:iCs/>
          <w:sz w:val="24"/>
          <w:szCs w:val="24"/>
        </w:rPr>
        <w:t>Reluctant Revolutionaries</w:t>
      </w:r>
      <w:r w:rsidRPr="00524724">
        <w:rPr>
          <w:rFonts w:ascii="Times New Roman" w:hAnsi="Times New Roman" w:cs="Times New Roman"/>
          <w:sz w:val="24"/>
          <w:szCs w:val="24"/>
        </w:rPr>
        <w:t>, pp. 175-197. Cornell University Press, 2018.</w:t>
      </w:r>
    </w:p>
    <w:p w14:paraId="1E511B31" w14:textId="77777777" w:rsidR="00524724" w:rsidRDefault="00C70C18" w:rsidP="00524724">
      <w:pPr>
        <w:spacing w:line="480" w:lineRule="auto"/>
        <w:ind w:left="720" w:hanging="720"/>
        <w:rPr>
          <w:rFonts w:ascii="Times New Roman" w:hAnsi="Times New Roman" w:cs="Times New Roman"/>
          <w:sz w:val="24"/>
          <w:szCs w:val="24"/>
        </w:rPr>
      </w:pPr>
      <w:r w:rsidRPr="00524724">
        <w:rPr>
          <w:rFonts w:ascii="Times New Roman" w:hAnsi="Times New Roman" w:cs="Times New Roman"/>
          <w:sz w:val="24"/>
          <w:szCs w:val="24"/>
        </w:rPr>
        <w:t xml:space="preserve">Novick, David, Laura Rodriguez, Aaron Pacheco, Aaron Rodriguez, Laura Hinojos, Brad Cartwright, Marco Cardiel, Ivan Gris Sepulveda, Olivia Rodriguez-Herrera, and Enrique </w:t>
      </w:r>
      <w:r w:rsidRPr="00524724">
        <w:rPr>
          <w:rFonts w:ascii="Times New Roman" w:hAnsi="Times New Roman" w:cs="Times New Roman"/>
          <w:sz w:val="24"/>
          <w:szCs w:val="24"/>
        </w:rPr>
        <w:lastRenderedPageBreak/>
        <w:t>Ponce. "The Boston massacre history experience." In </w:t>
      </w:r>
      <w:r w:rsidRPr="00524724">
        <w:rPr>
          <w:rFonts w:ascii="Times New Roman" w:hAnsi="Times New Roman" w:cs="Times New Roman"/>
          <w:i/>
          <w:iCs/>
          <w:sz w:val="24"/>
          <w:szCs w:val="24"/>
        </w:rPr>
        <w:t>Proceedings of the 19th ACM International Conference on Multimodal Interaction</w:t>
      </w:r>
      <w:r w:rsidRPr="00524724">
        <w:rPr>
          <w:rFonts w:ascii="Times New Roman" w:hAnsi="Times New Roman" w:cs="Times New Roman"/>
          <w:sz w:val="24"/>
          <w:szCs w:val="24"/>
        </w:rPr>
        <w:t>, pp. 499-500. 2017.</w:t>
      </w:r>
    </w:p>
    <w:p w14:paraId="288CEE0F" w14:textId="77777777" w:rsidR="008F73E9" w:rsidRDefault="00C70C18" w:rsidP="00524724">
      <w:pPr>
        <w:spacing w:line="480" w:lineRule="auto"/>
        <w:ind w:left="720" w:hanging="720"/>
        <w:rPr>
          <w:rFonts w:ascii="Times New Roman" w:hAnsi="Times New Roman" w:cs="Times New Roman"/>
          <w:sz w:val="24"/>
          <w:szCs w:val="24"/>
        </w:rPr>
      </w:pPr>
      <w:r w:rsidRPr="008F73E9">
        <w:rPr>
          <w:rFonts w:ascii="Times New Roman" w:hAnsi="Times New Roman" w:cs="Times New Roman"/>
          <w:sz w:val="24"/>
          <w:szCs w:val="24"/>
        </w:rPr>
        <w:t>Thomas, Martin, and Thomas Martin. </w:t>
      </w:r>
      <w:r w:rsidRPr="008F73E9">
        <w:rPr>
          <w:rFonts w:ascii="Times New Roman" w:hAnsi="Times New Roman" w:cs="Times New Roman"/>
          <w:i/>
          <w:iCs/>
          <w:sz w:val="24"/>
          <w:szCs w:val="24"/>
        </w:rPr>
        <w:t>Fight or flight: Britain, France, and their roads from empire</w:t>
      </w:r>
      <w:r w:rsidRPr="008F73E9">
        <w:rPr>
          <w:rFonts w:ascii="Times New Roman" w:hAnsi="Times New Roman" w:cs="Times New Roman"/>
          <w:sz w:val="24"/>
          <w:szCs w:val="24"/>
        </w:rPr>
        <w:t>. Oxford University Press, 2014.</w:t>
      </w:r>
    </w:p>
    <w:p w14:paraId="41958553" w14:textId="77777777" w:rsidR="00873212" w:rsidRDefault="00C70C18" w:rsidP="00524724">
      <w:pPr>
        <w:spacing w:line="480" w:lineRule="auto"/>
        <w:ind w:left="720" w:hanging="720"/>
        <w:rPr>
          <w:rFonts w:ascii="Times New Roman" w:hAnsi="Times New Roman" w:cs="Times New Roman"/>
          <w:sz w:val="24"/>
          <w:szCs w:val="24"/>
        </w:rPr>
      </w:pPr>
      <w:r w:rsidRPr="00873212">
        <w:rPr>
          <w:rFonts w:ascii="Times New Roman" w:hAnsi="Times New Roman" w:cs="Times New Roman"/>
          <w:sz w:val="24"/>
          <w:szCs w:val="24"/>
        </w:rPr>
        <w:t>Johnson, Allen S. "The passage of the sugar act." </w:t>
      </w:r>
      <w:r w:rsidRPr="00873212">
        <w:rPr>
          <w:rFonts w:ascii="Times New Roman" w:hAnsi="Times New Roman" w:cs="Times New Roman"/>
          <w:i/>
          <w:iCs/>
          <w:sz w:val="24"/>
          <w:szCs w:val="24"/>
        </w:rPr>
        <w:t>The William and Mary Quarterly: A Magazine of Early American History</w:t>
      </w:r>
      <w:r w:rsidRPr="00873212">
        <w:rPr>
          <w:rFonts w:ascii="Times New Roman" w:hAnsi="Times New Roman" w:cs="Times New Roman"/>
          <w:sz w:val="24"/>
          <w:szCs w:val="24"/>
        </w:rPr>
        <w:t> (1959): 507-514.</w:t>
      </w:r>
    </w:p>
    <w:p w14:paraId="20288CC2" w14:textId="77777777" w:rsidR="008A4028" w:rsidRDefault="00C70C18" w:rsidP="00524724">
      <w:pPr>
        <w:spacing w:line="480" w:lineRule="auto"/>
        <w:ind w:left="720" w:hanging="720"/>
        <w:rPr>
          <w:rFonts w:ascii="Times New Roman" w:hAnsi="Times New Roman" w:cs="Times New Roman"/>
          <w:sz w:val="24"/>
          <w:szCs w:val="24"/>
        </w:rPr>
      </w:pPr>
      <w:r w:rsidRPr="008A4028">
        <w:rPr>
          <w:rFonts w:ascii="Times New Roman" w:hAnsi="Times New Roman" w:cs="Times New Roman"/>
          <w:sz w:val="24"/>
          <w:szCs w:val="24"/>
        </w:rPr>
        <w:t>Dickinson, Harry Thomas. </w:t>
      </w:r>
      <w:r w:rsidRPr="008A4028">
        <w:rPr>
          <w:rFonts w:ascii="Times New Roman" w:hAnsi="Times New Roman" w:cs="Times New Roman"/>
          <w:i/>
          <w:iCs/>
          <w:sz w:val="24"/>
          <w:szCs w:val="24"/>
        </w:rPr>
        <w:t>Britain and the American Revolution</w:t>
      </w:r>
      <w:r w:rsidRPr="008A4028">
        <w:rPr>
          <w:rFonts w:ascii="Times New Roman" w:hAnsi="Times New Roman" w:cs="Times New Roman"/>
          <w:sz w:val="24"/>
          <w:szCs w:val="24"/>
        </w:rPr>
        <w:t>. Routledge, 2014.</w:t>
      </w:r>
    </w:p>
    <w:p w14:paraId="4EACAC84" w14:textId="77777777" w:rsidR="008A4028" w:rsidRDefault="00C70C18" w:rsidP="00524724">
      <w:pPr>
        <w:spacing w:line="480" w:lineRule="auto"/>
        <w:ind w:left="720" w:hanging="720"/>
        <w:rPr>
          <w:rFonts w:ascii="Times New Roman" w:hAnsi="Times New Roman" w:cs="Times New Roman"/>
          <w:sz w:val="24"/>
          <w:szCs w:val="24"/>
        </w:rPr>
      </w:pPr>
      <w:r w:rsidRPr="008A4028">
        <w:rPr>
          <w:rFonts w:ascii="Times New Roman" w:hAnsi="Times New Roman" w:cs="Times New Roman"/>
          <w:sz w:val="24"/>
          <w:szCs w:val="24"/>
        </w:rPr>
        <w:t>Israel, Jonathan. </w:t>
      </w:r>
      <w:r w:rsidRPr="008A4028">
        <w:rPr>
          <w:rFonts w:ascii="Times New Roman" w:hAnsi="Times New Roman" w:cs="Times New Roman"/>
          <w:i/>
          <w:iCs/>
          <w:sz w:val="24"/>
          <w:szCs w:val="24"/>
        </w:rPr>
        <w:t>The expanding blaze: How the American Revolution ignited the world, 1775-1848</w:t>
      </w:r>
      <w:r w:rsidRPr="008A4028">
        <w:rPr>
          <w:rFonts w:ascii="Times New Roman" w:hAnsi="Times New Roman" w:cs="Times New Roman"/>
          <w:sz w:val="24"/>
          <w:szCs w:val="24"/>
        </w:rPr>
        <w:t>. Princeton University Press, 2019.</w:t>
      </w:r>
    </w:p>
    <w:p w14:paraId="51632D14" w14:textId="77777777" w:rsidR="008A4028" w:rsidRDefault="00C70C18" w:rsidP="00524724">
      <w:pPr>
        <w:spacing w:line="480" w:lineRule="auto"/>
        <w:ind w:left="720" w:hanging="720"/>
        <w:rPr>
          <w:rFonts w:ascii="Times New Roman" w:hAnsi="Times New Roman" w:cs="Times New Roman"/>
          <w:sz w:val="24"/>
          <w:szCs w:val="24"/>
        </w:rPr>
      </w:pPr>
      <w:r w:rsidRPr="008A4028">
        <w:rPr>
          <w:rFonts w:ascii="Times New Roman" w:hAnsi="Times New Roman" w:cs="Times New Roman"/>
          <w:sz w:val="24"/>
          <w:szCs w:val="24"/>
        </w:rPr>
        <w:t>Dickinson, Harry Thomas. </w:t>
      </w:r>
      <w:r w:rsidRPr="008A4028">
        <w:rPr>
          <w:rFonts w:ascii="Times New Roman" w:hAnsi="Times New Roman" w:cs="Times New Roman"/>
          <w:i/>
          <w:iCs/>
          <w:sz w:val="24"/>
          <w:szCs w:val="24"/>
        </w:rPr>
        <w:t>Britain and the American Revolution</w:t>
      </w:r>
      <w:r w:rsidRPr="008A4028">
        <w:rPr>
          <w:rFonts w:ascii="Times New Roman" w:hAnsi="Times New Roman" w:cs="Times New Roman"/>
          <w:sz w:val="24"/>
          <w:szCs w:val="24"/>
        </w:rPr>
        <w:t>. Routledge, 2014.</w:t>
      </w:r>
    </w:p>
    <w:p w14:paraId="64C52C09" w14:textId="77777777" w:rsidR="008A4028" w:rsidRDefault="00C70C18" w:rsidP="00524724">
      <w:pPr>
        <w:spacing w:line="480" w:lineRule="auto"/>
        <w:ind w:left="720" w:hanging="720"/>
        <w:rPr>
          <w:rFonts w:ascii="Times New Roman" w:hAnsi="Times New Roman" w:cs="Times New Roman"/>
          <w:sz w:val="24"/>
          <w:szCs w:val="24"/>
        </w:rPr>
      </w:pPr>
      <w:r w:rsidRPr="008A4028">
        <w:rPr>
          <w:rFonts w:ascii="Times New Roman" w:hAnsi="Times New Roman" w:cs="Times New Roman"/>
          <w:sz w:val="24"/>
          <w:szCs w:val="24"/>
        </w:rPr>
        <w:t>Baldwin, Alice M. </w:t>
      </w:r>
      <w:r w:rsidRPr="008A4028">
        <w:rPr>
          <w:rFonts w:ascii="Times New Roman" w:hAnsi="Times New Roman" w:cs="Times New Roman"/>
          <w:i/>
          <w:iCs/>
          <w:sz w:val="24"/>
          <w:szCs w:val="24"/>
        </w:rPr>
        <w:t>The New England Clergy and the American Revolution</w:t>
      </w:r>
      <w:r w:rsidRPr="008A4028">
        <w:rPr>
          <w:rFonts w:ascii="Times New Roman" w:hAnsi="Times New Roman" w:cs="Times New Roman"/>
          <w:sz w:val="24"/>
          <w:szCs w:val="24"/>
        </w:rPr>
        <w:t>. Ravenio Books, 2017.</w:t>
      </w:r>
    </w:p>
    <w:p w14:paraId="7B3731F4" w14:textId="77777777" w:rsidR="008A4028" w:rsidRDefault="00C70C18" w:rsidP="00524724">
      <w:pPr>
        <w:spacing w:line="480" w:lineRule="auto"/>
        <w:ind w:left="720" w:hanging="720"/>
        <w:rPr>
          <w:rFonts w:ascii="Times New Roman" w:hAnsi="Times New Roman" w:cs="Times New Roman"/>
          <w:sz w:val="24"/>
          <w:szCs w:val="24"/>
        </w:rPr>
      </w:pPr>
      <w:r w:rsidRPr="008A4028">
        <w:rPr>
          <w:rFonts w:ascii="Times New Roman" w:hAnsi="Times New Roman" w:cs="Times New Roman"/>
          <w:sz w:val="24"/>
          <w:szCs w:val="24"/>
        </w:rPr>
        <w:t>Israel, Jonathan. </w:t>
      </w:r>
      <w:r w:rsidRPr="008A4028">
        <w:rPr>
          <w:rFonts w:ascii="Times New Roman" w:hAnsi="Times New Roman" w:cs="Times New Roman"/>
          <w:i/>
          <w:iCs/>
          <w:sz w:val="24"/>
          <w:szCs w:val="24"/>
        </w:rPr>
        <w:t>The expanding blaze: How the American Revolution ignited the world, 1775-1848</w:t>
      </w:r>
      <w:r w:rsidRPr="008A4028">
        <w:rPr>
          <w:rFonts w:ascii="Times New Roman" w:hAnsi="Times New Roman" w:cs="Times New Roman"/>
          <w:sz w:val="24"/>
          <w:szCs w:val="24"/>
        </w:rPr>
        <w:t>. Princeton University Press, 2019.</w:t>
      </w:r>
    </w:p>
    <w:p w14:paraId="0F8451EF" w14:textId="77777777" w:rsidR="00524724" w:rsidRDefault="00524724" w:rsidP="00524724">
      <w:pPr>
        <w:spacing w:line="480" w:lineRule="auto"/>
        <w:ind w:left="720" w:hanging="720"/>
        <w:rPr>
          <w:rFonts w:ascii="Times New Roman" w:hAnsi="Times New Roman" w:cs="Times New Roman"/>
          <w:sz w:val="24"/>
          <w:szCs w:val="24"/>
        </w:rPr>
      </w:pPr>
    </w:p>
    <w:p w14:paraId="6247EDB4" w14:textId="77777777" w:rsidR="00524724" w:rsidRDefault="00524724" w:rsidP="00524724">
      <w:pPr>
        <w:spacing w:line="480" w:lineRule="auto"/>
        <w:ind w:left="720" w:hanging="720"/>
        <w:rPr>
          <w:rFonts w:ascii="Times New Roman" w:hAnsi="Times New Roman" w:cs="Times New Roman"/>
          <w:sz w:val="24"/>
          <w:szCs w:val="24"/>
        </w:rPr>
      </w:pPr>
    </w:p>
    <w:p w14:paraId="7C76EED9" w14:textId="77777777" w:rsidR="00524724" w:rsidRDefault="00524724" w:rsidP="00524724">
      <w:pPr>
        <w:spacing w:line="480" w:lineRule="auto"/>
        <w:ind w:left="720" w:hanging="720"/>
        <w:rPr>
          <w:rFonts w:ascii="Times New Roman" w:hAnsi="Times New Roman" w:cs="Times New Roman"/>
          <w:sz w:val="24"/>
          <w:szCs w:val="24"/>
        </w:rPr>
      </w:pPr>
    </w:p>
    <w:p w14:paraId="79B60093" w14:textId="77777777" w:rsidR="00524724" w:rsidRDefault="00524724" w:rsidP="00524724">
      <w:pPr>
        <w:spacing w:line="480" w:lineRule="auto"/>
        <w:ind w:left="720" w:hanging="720"/>
        <w:rPr>
          <w:rFonts w:ascii="Times New Roman" w:hAnsi="Times New Roman" w:cs="Times New Roman"/>
          <w:sz w:val="24"/>
          <w:szCs w:val="24"/>
        </w:rPr>
      </w:pPr>
    </w:p>
    <w:p w14:paraId="56411072" w14:textId="77777777" w:rsidR="00524724" w:rsidRDefault="00524724" w:rsidP="00524724">
      <w:pPr>
        <w:spacing w:line="480" w:lineRule="auto"/>
        <w:ind w:left="720" w:hanging="720"/>
        <w:rPr>
          <w:rFonts w:ascii="Times New Roman" w:hAnsi="Times New Roman" w:cs="Times New Roman"/>
          <w:sz w:val="24"/>
          <w:szCs w:val="24"/>
        </w:rPr>
      </w:pPr>
    </w:p>
    <w:p w14:paraId="1920C7CC" w14:textId="77777777" w:rsidR="006857D7" w:rsidRDefault="006857D7" w:rsidP="00524724">
      <w:pPr>
        <w:spacing w:line="480" w:lineRule="auto"/>
        <w:ind w:left="720" w:hanging="720"/>
        <w:rPr>
          <w:rFonts w:ascii="Times New Roman" w:hAnsi="Times New Roman" w:cs="Times New Roman"/>
          <w:sz w:val="24"/>
          <w:szCs w:val="24"/>
        </w:rPr>
      </w:pPr>
    </w:p>
    <w:p w14:paraId="199DA38B" w14:textId="77777777" w:rsidR="006857D7" w:rsidRPr="00D4389C" w:rsidRDefault="006857D7" w:rsidP="00524724">
      <w:pPr>
        <w:spacing w:line="480" w:lineRule="auto"/>
        <w:ind w:left="720" w:hanging="720"/>
        <w:rPr>
          <w:rFonts w:ascii="Times New Roman" w:hAnsi="Times New Roman" w:cs="Times New Roman"/>
          <w:sz w:val="24"/>
          <w:szCs w:val="24"/>
        </w:rPr>
      </w:pPr>
    </w:p>
    <w:p w14:paraId="4F97DB72" w14:textId="77777777" w:rsidR="007843C6" w:rsidRDefault="007843C6" w:rsidP="00524724">
      <w:pPr>
        <w:spacing w:line="480" w:lineRule="auto"/>
        <w:ind w:left="720" w:hanging="720"/>
      </w:pPr>
    </w:p>
    <w:sectPr w:rsidR="007843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7BCFA" w14:textId="77777777" w:rsidR="00395565" w:rsidRDefault="00395565">
      <w:pPr>
        <w:spacing w:after="0" w:line="240" w:lineRule="auto"/>
      </w:pPr>
      <w:r>
        <w:separator/>
      </w:r>
    </w:p>
  </w:endnote>
  <w:endnote w:type="continuationSeparator" w:id="0">
    <w:p w14:paraId="0E506664" w14:textId="77777777" w:rsidR="00395565" w:rsidRDefault="0039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668C2" w14:textId="77777777" w:rsidR="00395565" w:rsidRDefault="00395565" w:rsidP="00F85EC9">
      <w:pPr>
        <w:spacing w:after="0" w:line="240" w:lineRule="auto"/>
      </w:pPr>
      <w:r>
        <w:separator/>
      </w:r>
    </w:p>
  </w:footnote>
  <w:footnote w:type="continuationSeparator" w:id="0">
    <w:p w14:paraId="2B38B54B" w14:textId="77777777" w:rsidR="00395565" w:rsidRDefault="00395565" w:rsidP="00F85EC9">
      <w:pPr>
        <w:spacing w:after="0" w:line="240" w:lineRule="auto"/>
      </w:pPr>
      <w:r>
        <w:continuationSeparator/>
      </w:r>
    </w:p>
  </w:footnote>
  <w:footnote w:id="1">
    <w:p w14:paraId="57076319" w14:textId="77777777" w:rsidR="00820717" w:rsidRPr="00820717" w:rsidRDefault="00C70C18" w:rsidP="00820717">
      <w:pPr>
        <w:pStyle w:val="FootnoteText"/>
      </w:pPr>
      <w:r>
        <w:rPr>
          <w:rStyle w:val="FootnoteReference"/>
        </w:rPr>
        <w:footnoteRef/>
      </w:r>
      <w:r>
        <w:t xml:space="preserve"> </w:t>
      </w:r>
      <w:r w:rsidRPr="00820717">
        <w:t>Dickinson, Harry Thomas. </w:t>
      </w:r>
      <w:r w:rsidRPr="00820717">
        <w:rPr>
          <w:i/>
          <w:iCs/>
        </w:rPr>
        <w:t>Britain and the American Revolution</w:t>
      </w:r>
      <w:r w:rsidRPr="00820717">
        <w:t>. Routledge, 2014.</w:t>
      </w:r>
    </w:p>
    <w:p w14:paraId="51719B4F" w14:textId="77777777" w:rsidR="00820717" w:rsidRDefault="00820717">
      <w:pPr>
        <w:pStyle w:val="FootnoteText"/>
      </w:pPr>
    </w:p>
  </w:footnote>
  <w:footnote w:id="2">
    <w:p w14:paraId="0E600EC1" w14:textId="77777777" w:rsidR="00820717" w:rsidRPr="00820717" w:rsidRDefault="00C70C18" w:rsidP="00820717">
      <w:pPr>
        <w:pStyle w:val="FootnoteText"/>
      </w:pPr>
      <w:r>
        <w:rPr>
          <w:rStyle w:val="FootnoteReference"/>
        </w:rPr>
        <w:footnoteRef/>
      </w:r>
      <w:r w:rsidRPr="00820717">
        <w:t>Israel, Jonathan. </w:t>
      </w:r>
      <w:r w:rsidRPr="00820717">
        <w:rPr>
          <w:i/>
          <w:iCs/>
        </w:rPr>
        <w:t>The expanding blaze: How the American Revolution ignited the world, 1775-1848</w:t>
      </w:r>
      <w:r w:rsidRPr="00820717">
        <w:t>. Princeton University Press, 2019.</w:t>
      </w:r>
    </w:p>
    <w:p w14:paraId="1622A88E" w14:textId="77777777" w:rsidR="00820717" w:rsidRDefault="00C70C18">
      <w:pPr>
        <w:pStyle w:val="FootnoteText"/>
      </w:pPr>
      <w:r>
        <w:t xml:space="preserve"> </w:t>
      </w:r>
    </w:p>
  </w:footnote>
  <w:footnote w:id="3">
    <w:p w14:paraId="4AA90A08" w14:textId="77777777" w:rsidR="00820717" w:rsidRPr="00820717" w:rsidRDefault="00C70C18" w:rsidP="00820717">
      <w:pPr>
        <w:pStyle w:val="FootnoteText"/>
      </w:pPr>
      <w:r>
        <w:rPr>
          <w:rStyle w:val="FootnoteReference"/>
        </w:rPr>
        <w:footnoteRef/>
      </w:r>
      <w:r>
        <w:t xml:space="preserve"> </w:t>
      </w:r>
      <w:r w:rsidRPr="00820717">
        <w:t>Israel, Jonathan. </w:t>
      </w:r>
      <w:r w:rsidRPr="00820717">
        <w:rPr>
          <w:i/>
          <w:iCs/>
        </w:rPr>
        <w:t>The expanding blaze: How the American Revolution ignited the world, 1775-1848</w:t>
      </w:r>
      <w:r w:rsidRPr="00820717">
        <w:t>. Princeton University Press, 2019.</w:t>
      </w:r>
    </w:p>
    <w:p w14:paraId="51F2A275" w14:textId="77777777" w:rsidR="00820717" w:rsidRDefault="00820717">
      <w:pPr>
        <w:pStyle w:val="FootnoteText"/>
      </w:pPr>
    </w:p>
  </w:footnote>
  <w:footnote w:id="4">
    <w:p w14:paraId="644F3C44" w14:textId="77777777" w:rsidR="00820717" w:rsidRPr="00820717" w:rsidRDefault="00C70C18" w:rsidP="00820717">
      <w:pPr>
        <w:pStyle w:val="FootnoteText"/>
      </w:pPr>
      <w:r>
        <w:rPr>
          <w:rStyle w:val="FootnoteReference"/>
        </w:rPr>
        <w:footnoteRef/>
      </w:r>
      <w:r>
        <w:t xml:space="preserve"> </w:t>
      </w:r>
      <w:r w:rsidRPr="00820717">
        <w:t>Wilson, James Q., John J. DiIulio Jr, Meena Bose, and Matthew S. Levendusky. </w:t>
      </w:r>
      <w:r w:rsidRPr="00820717">
        <w:rPr>
          <w:i/>
          <w:iCs/>
        </w:rPr>
        <w:t>American government: Institutions and policies</w:t>
      </w:r>
      <w:r w:rsidRPr="00820717">
        <w:t>. Cengage Learning, 2021.</w:t>
      </w:r>
    </w:p>
    <w:p w14:paraId="4EC7EDC5" w14:textId="77777777" w:rsidR="00820717" w:rsidRPr="00820717" w:rsidRDefault="00C70C18" w:rsidP="00820717">
      <w:pPr>
        <w:pStyle w:val="FootnoteText"/>
      </w:pPr>
      <w:r w:rsidRPr="00820717">
        <w:t>Djankov, Simeon, and Elena Nikolova. "Communism as the unhappy coming." </w:t>
      </w:r>
      <w:r w:rsidRPr="00820717">
        <w:rPr>
          <w:i/>
          <w:iCs/>
        </w:rPr>
        <w:t>Journal of Comparative Economics</w:t>
      </w:r>
      <w:r w:rsidRPr="00820717">
        <w:t> 46, no. 3 (2018): 708-721.</w:t>
      </w:r>
    </w:p>
    <w:p w14:paraId="66F97C13" w14:textId="77777777" w:rsidR="00820717" w:rsidRDefault="00820717">
      <w:pPr>
        <w:pStyle w:val="FootnoteText"/>
      </w:pPr>
    </w:p>
  </w:footnote>
  <w:footnote w:id="5">
    <w:p w14:paraId="0C19D91F" w14:textId="77777777" w:rsidR="00820717" w:rsidRPr="001171B9" w:rsidRDefault="00C70C18" w:rsidP="00820717">
      <w:pPr>
        <w:pStyle w:val="FootnoteText"/>
        <w:rPr>
          <w:rFonts w:ascii="Times New Roman" w:hAnsi="Times New Roman" w:cs="Times New Roman"/>
        </w:rPr>
      </w:pPr>
      <w:r>
        <w:rPr>
          <w:rStyle w:val="FootnoteReference"/>
        </w:rPr>
        <w:footnoteRef/>
      </w:r>
      <w:r>
        <w:t xml:space="preserve"> </w:t>
      </w:r>
      <w:r w:rsidRPr="001171B9">
        <w:rPr>
          <w:rFonts w:ascii="Times New Roman" w:hAnsi="Times New Roman" w:cs="Times New Roman"/>
        </w:rPr>
        <w:t>Baldwin, Alice M. </w:t>
      </w:r>
      <w:r w:rsidRPr="001171B9">
        <w:rPr>
          <w:rFonts w:ascii="Times New Roman" w:hAnsi="Times New Roman" w:cs="Times New Roman"/>
          <w:i/>
          <w:iCs/>
        </w:rPr>
        <w:t>The New England Clergy and the American Revolution</w:t>
      </w:r>
      <w:r w:rsidRPr="001171B9">
        <w:rPr>
          <w:rFonts w:ascii="Times New Roman" w:hAnsi="Times New Roman" w:cs="Times New Roman"/>
        </w:rPr>
        <w:t>. Ravenio Books, 2017.</w:t>
      </w:r>
    </w:p>
    <w:p w14:paraId="56AB232C" w14:textId="77777777" w:rsidR="00820717" w:rsidRPr="001171B9" w:rsidRDefault="00820717">
      <w:pPr>
        <w:pStyle w:val="FootnoteText"/>
        <w:rPr>
          <w:rFonts w:ascii="Times New Roman" w:hAnsi="Times New Roman" w:cs="Times New Roman"/>
        </w:rPr>
      </w:pPr>
    </w:p>
  </w:footnote>
  <w:footnote w:id="6">
    <w:p w14:paraId="7E712F90" w14:textId="77777777" w:rsidR="00873212" w:rsidRPr="001171B9" w:rsidRDefault="00C70C18" w:rsidP="00873212">
      <w:pPr>
        <w:pStyle w:val="FootnoteText"/>
        <w:rPr>
          <w:rFonts w:ascii="Times New Roman" w:hAnsi="Times New Roman" w:cs="Times New Roman"/>
        </w:rPr>
      </w:pPr>
      <w:r w:rsidRPr="001171B9">
        <w:rPr>
          <w:rStyle w:val="FootnoteReference"/>
          <w:rFonts w:ascii="Times New Roman" w:hAnsi="Times New Roman" w:cs="Times New Roman"/>
        </w:rPr>
        <w:footnoteRef/>
      </w:r>
      <w:r w:rsidRPr="001171B9">
        <w:rPr>
          <w:rFonts w:ascii="Times New Roman" w:hAnsi="Times New Roman" w:cs="Times New Roman"/>
        </w:rPr>
        <w:t xml:space="preserve"> Vine, Ben. "American Spring: Lexington, Concord, and the Road to Revolution." (2015): 348-350.</w:t>
      </w:r>
    </w:p>
    <w:p w14:paraId="573AACAF" w14:textId="77777777" w:rsidR="00873212" w:rsidRPr="001171B9" w:rsidRDefault="00873212">
      <w:pPr>
        <w:pStyle w:val="FootnoteText"/>
        <w:rPr>
          <w:rFonts w:ascii="Times New Roman" w:hAnsi="Times New Roman" w:cs="Times New Roman"/>
        </w:rPr>
      </w:pPr>
    </w:p>
  </w:footnote>
  <w:footnote w:id="7">
    <w:p w14:paraId="00FF9BB5" w14:textId="77777777" w:rsidR="00873212" w:rsidRPr="001171B9" w:rsidRDefault="00C70C18" w:rsidP="00873212">
      <w:pPr>
        <w:pStyle w:val="FootnoteText"/>
        <w:rPr>
          <w:rFonts w:ascii="Times New Roman" w:hAnsi="Times New Roman" w:cs="Times New Roman"/>
        </w:rPr>
      </w:pPr>
      <w:r w:rsidRPr="001171B9">
        <w:rPr>
          <w:rStyle w:val="FootnoteReference"/>
          <w:rFonts w:ascii="Times New Roman" w:hAnsi="Times New Roman" w:cs="Times New Roman"/>
        </w:rPr>
        <w:footnoteRef/>
      </w:r>
      <w:r w:rsidRPr="001171B9">
        <w:rPr>
          <w:rFonts w:ascii="Times New Roman" w:hAnsi="Times New Roman" w:cs="Times New Roman"/>
        </w:rPr>
        <w:t xml:space="preserve"> Vine, Ben. "American Spring: Lexington, Concord, and the Road to Revolution."</w:t>
      </w:r>
    </w:p>
    <w:p w14:paraId="690511F8" w14:textId="77777777" w:rsidR="00873212" w:rsidRPr="001171B9" w:rsidRDefault="00873212">
      <w:pPr>
        <w:pStyle w:val="FootnoteText"/>
        <w:rPr>
          <w:rFonts w:ascii="Times New Roman" w:hAnsi="Times New Roman" w:cs="Times New Roman"/>
        </w:rPr>
      </w:pPr>
    </w:p>
  </w:footnote>
  <w:footnote w:id="8">
    <w:p w14:paraId="028F3F2D" w14:textId="77777777" w:rsidR="00873212" w:rsidRPr="001171B9" w:rsidRDefault="00C70C18" w:rsidP="00873212">
      <w:pPr>
        <w:pStyle w:val="FootnoteText"/>
        <w:rPr>
          <w:rFonts w:ascii="Times New Roman" w:hAnsi="Times New Roman" w:cs="Times New Roman"/>
        </w:rPr>
      </w:pPr>
      <w:r w:rsidRPr="001171B9">
        <w:rPr>
          <w:rStyle w:val="FootnoteReference"/>
          <w:rFonts w:ascii="Times New Roman" w:hAnsi="Times New Roman" w:cs="Times New Roman"/>
        </w:rPr>
        <w:footnoteRef/>
      </w:r>
      <w:r w:rsidRPr="001171B9">
        <w:rPr>
          <w:rFonts w:ascii="Times New Roman" w:hAnsi="Times New Roman" w:cs="Times New Roman"/>
        </w:rPr>
        <w:t xml:space="preserve"> Thomas, Martin, and Thomas Martin. </w:t>
      </w:r>
      <w:r w:rsidRPr="001171B9">
        <w:rPr>
          <w:rFonts w:ascii="Times New Roman" w:hAnsi="Times New Roman" w:cs="Times New Roman"/>
          <w:i/>
          <w:iCs/>
        </w:rPr>
        <w:t>Fight or flight: Britain, France, and their roads from the empire</w:t>
      </w:r>
      <w:r w:rsidRPr="001171B9">
        <w:rPr>
          <w:rFonts w:ascii="Times New Roman" w:hAnsi="Times New Roman" w:cs="Times New Roman"/>
        </w:rPr>
        <w:t>. Oxford University Press, 2014.</w:t>
      </w:r>
    </w:p>
    <w:p w14:paraId="4C774563" w14:textId="77777777" w:rsidR="00873212" w:rsidRPr="001171B9" w:rsidRDefault="00873212">
      <w:pPr>
        <w:pStyle w:val="FootnoteText"/>
        <w:rPr>
          <w:rFonts w:ascii="Times New Roman" w:hAnsi="Times New Roman" w:cs="Times New Roman"/>
        </w:rPr>
      </w:pPr>
    </w:p>
  </w:footnote>
  <w:footnote w:id="9">
    <w:p w14:paraId="16ADCEF8" w14:textId="77777777" w:rsidR="00873212" w:rsidRPr="001171B9" w:rsidRDefault="00C70C18" w:rsidP="00873212">
      <w:pPr>
        <w:pStyle w:val="FootnoteText"/>
        <w:rPr>
          <w:rFonts w:ascii="Times New Roman" w:hAnsi="Times New Roman" w:cs="Times New Roman"/>
        </w:rPr>
      </w:pPr>
      <w:r w:rsidRPr="001171B9">
        <w:rPr>
          <w:rStyle w:val="FootnoteReference"/>
          <w:rFonts w:ascii="Times New Roman" w:hAnsi="Times New Roman" w:cs="Times New Roman"/>
        </w:rPr>
        <w:footnoteRef/>
      </w:r>
      <w:r w:rsidRPr="001171B9">
        <w:rPr>
          <w:rFonts w:ascii="Times New Roman" w:hAnsi="Times New Roman" w:cs="Times New Roman"/>
        </w:rPr>
        <w:t xml:space="preserve"> Wells, Robert V. </w:t>
      </w:r>
      <w:r w:rsidRPr="001171B9">
        <w:rPr>
          <w:rFonts w:ascii="Times New Roman" w:hAnsi="Times New Roman" w:cs="Times New Roman"/>
          <w:i/>
          <w:iCs/>
        </w:rPr>
        <w:t>Population of the British Colonies in America Before 1776: A Survey of Census Data</w:t>
      </w:r>
      <w:r w:rsidRPr="001171B9">
        <w:rPr>
          <w:rFonts w:ascii="Times New Roman" w:hAnsi="Times New Roman" w:cs="Times New Roman"/>
        </w:rPr>
        <w:t>. Princeton University Press, 2015.</w:t>
      </w:r>
    </w:p>
    <w:p w14:paraId="24E9CF12" w14:textId="77777777" w:rsidR="00873212" w:rsidRDefault="00873212">
      <w:pPr>
        <w:pStyle w:val="FootnoteText"/>
      </w:pPr>
    </w:p>
  </w:footnote>
  <w:footnote w:id="10">
    <w:p w14:paraId="38B9AA40" w14:textId="77777777" w:rsidR="00873212" w:rsidRPr="00873212" w:rsidRDefault="00C70C18" w:rsidP="00873212">
      <w:pPr>
        <w:pStyle w:val="FootnoteText"/>
      </w:pPr>
      <w:r>
        <w:rPr>
          <w:rStyle w:val="FootnoteReference"/>
        </w:rPr>
        <w:footnoteRef/>
      </w:r>
      <w:r>
        <w:t xml:space="preserve"> </w:t>
      </w:r>
      <w:r w:rsidRPr="00873212">
        <w:t>Thomas, Martin, and Thomas Martin. </w:t>
      </w:r>
      <w:r w:rsidRPr="00873212">
        <w:rPr>
          <w:i/>
          <w:iCs/>
        </w:rPr>
        <w:t>Fight or flight: Britain, France, and their roads from the empire</w:t>
      </w:r>
      <w:r>
        <w:t xml:space="preserve">. </w:t>
      </w:r>
    </w:p>
    <w:p w14:paraId="45C52261" w14:textId="77777777" w:rsidR="00873212" w:rsidRDefault="00873212">
      <w:pPr>
        <w:pStyle w:val="FootnoteText"/>
      </w:pPr>
    </w:p>
  </w:footnote>
  <w:footnote w:id="11">
    <w:p w14:paraId="36C4C7DE" w14:textId="77777777" w:rsidR="00873212" w:rsidRPr="00873212" w:rsidRDefault="00C70C18" w:rsidP="00873212">
      <w:pPr>
        <w:pStyle w:val="FootnoteText"/>
      </w:pPr>
      <w:r>
        <w:rPr>
          <w:rStyle w:val="FootnoteReference"/>
        </w:rPr>
        <w:footnoteRef/>
      </w:r>
      <w:r>
        <w:t xml:space="preserve"> </w:t>
      </w:r>
      <w:r w:rsidRPr="00873212">
        <w:t>Shain, Barry Alan. "ACT II: RESPONSE TO THE COERCIVE ACTS, 1774." In </w:t>
      </w:r>
      <w:r w:rsidRPr="00873212">
        <w:rPr>
          <w:i/>
          <w:iCs/>
        </w:rPr>
        <w:t>The Declaration of Independence in Historical Context</w:t>
      </w:r>
      <w:r w:rsidRPr="00873212">
        <w:t>, pp. 133-252. Yale University Press, 2014.</w:t>
      </w:r>
    </w:p>
    <w:p w14:paraId="36346751" w14:textId="77777777" w:rsidR="00873212" w:rsidRDefault="00873212">
      <w:pPr>
        <w:pStyle w:val="FootnoteText"/>
      </w:pPr>
    </w:p>
  </w:footnote>
  <w:footnote w:id="12">
    <w:p w14:paraId="136C55D6" w14:textId="77777777" w:rsidR="00873212" w:rsidRDefault="00C70C18">
      <w:pPr>
        <w:pStyle w:val="FootnoteText"/>
      </w:pPr>
      <w:r>
        <w:rPr>
          <w:rStyle w:val="FootnoteReference"/>
        </w:rPr>
        <w:footnoteRef/>
      </w:r>
      <w:r>
        <w:t xml:space="preserve"> </w:t>
      </w:r>
      <w:r w:rsidRPr="00873212">
        <w:t>Johnson, Allen S. "The passage of the sugar act." </w:t>
      </w:r>
      <w:r w:rsidRPr="00873212">
        <w:rPr>
          <w:i/>
          <w:iCs/>
        </w:rPr>
        <w:t>The William and Mary Quarterly: A Magazine of Early American History</w:t>
      </w:r>
      <w:r w:rsidRPr="00873212">
        <w:t> (1959): 507-514.</w:t>
      </w:r>
    </w:p>
  </w:footnote>
  <w:footnote w:id="13">
    <w:p w14:paraId="3E25AA31" w14:textId="77777777" w:rsidR="00873212" w:rsidRDefault="00C70C18">
      <w:pPr>
        <w:pStyle w:val="FootnoteText"/>
      </w:pPr>
      <w:r>
        <w:rPr>
          <w:rStyle w:val="FootnoteReference"/>
        </w:rPr>
        <w:footnoteRef/>
      </w:r>
      <w:r>
        <w:t xml:space="preserve"> </w:t>
      </w:r>
      <w:r w:rsidRPr="00873212">
        <w:t>Johnson, Allen S. "The passage of the sugar act." </w:t>
      </w:r>
      <w:r w:rsidRPr="00873212">
        <w:rPr>
          <w:i/>
          <w:iCs/>
        </w:rPr>
        <w:t>The William and Mary Quarterly: A Magazine of Early American History</w:t>
      </w:r>
      <w:r>
        <w:t>.</w:t>
      </w:r>
    </w:p>
  </w:footnote>
  <w:footnote w:id="14">
    <w:p w14:paraId="45FEDD29" w14:textId="77777777" w:rsidR="00873212" w:rsidRPr="00873212" w:rsidRDefault="00C70C18" w:rsidP="00873212">
      <w:pPr>
        <w:pStyle w:val="FootnoteText"/>
      </w:pPr>
      <w:r>
        <w:rPr>
          <w:rStyle w:val="FootnoteReference"/>
        </w:rPr>
        <w:footnoteRef/>
      </w:r>
      <w:r>
        <w:t xml:space="preserve"> </w:t>
      </w:r>
      <w:r w:rsidRPr="00873212">
        <w:t>Skalenko, Nicole. "William Livingston and the Stamp Act Crisis of 1765." </w:t>
      </w:r>
      <w:r w:rsidRPr="00873212">
        <w:rPr>
          <w:i/>
          <w:iCs/>
        </w:rPr>
        <w:t>The Macksey Journal</w:t>
      </w:r>
      <w:r w:rsidRPr="00873212">
        <w:t> 1, no. 1 (2020): 21902.</w:t>
      </w:r>
    </w:p>
    <w:p w14:paraId="5D77530C" w14:textId="77777777" w:rsidR="00873212" w:rsidRDefault="00873212">
      <w:pPr>
        <w:pStyle w:val="FootnoteText"/>
      </w:pPr>
    </w:p>
  </w:footnote>
  <w:footnote w:id="15">
    <w:p w14:paraId="45B9D571" w14:textId="77777777" w:rsidR="00873212" w:rsidRPr="00873212" w:rsidRDefault="00C70C18" w:rsidP="00873212">
      <w:pPr>
        <w:pStyle w:val="FootnoteText"/>
      </w:pPr>
      <w:r>
        <w:rPr>
          <w:rStyle w:val="FootnoteReference"/>
        </w:rPr>
        <w:footnoteRef/>
      </w:r>
      <w:r>
        <w:t xml:space="preserve"> </w:t>
      </w:r>
      <w:r w:rsidRPr="00873212">
        <w:t>Novick, David, Laura Rodriguez, Aaron Pacheco, Aaron Rodriguez, Laura Hinojos, Brad Cartwright, Marco Cardiel, Ivan Gris Sepulveda, Olivia Rodriguez-Herrera, and Enrique Ponce. "The Boston massacre history experience." In </w:t>
      </w:r>
      <w:r w:rsidRPr="00873212">
        <w:rPr>
          <w:i/>
          <w:iCs/>
        </w:rPr>
        <w:t>Proceedings of the 19th ACM International Conference on Multimodal Interaction</w:t>
      </w:r>
      <w:r w:rsidRPr="00873212">
        <w:t>, pp. 499-500. 2017.</w:t>
      </w:r>
    </w:p>
    <w:p w14:paraId="053E20FA" w14:textId="77777777" w:rsidR="00873212" w:rsidRDefault="00873212">
      <w:pPr>
        <w:pStyle w:val="FootnoteText"/>
      </w:pPr>
    </w:p>
  </w:footnote>
  <w:footnote w:id="16">
    <w:p w14:paraId="3B83D0E4" w14:textId="77777777" w:rsidR="00873212" w:rsidRPr="00873212" w:rsidRDefault="00C70C18" w:rsidP="00873212">
      <w:pPr>
        <w:pStyle w:val="FootnoteText"/>
      </w:pPr>
      <w:r>
        <w:rPr>
          <w:rStyle w:val="FootnoteReference"/>
        </w:rPr>
        <w:footnoteRef/>
      </w:r>
      <w:r>
        <w:t xml:space="preserve"> </w:t>
      </w:r>
      <w:r w:rsidRPr="00873212">
        <w:t>Tiedemann, Joseph S. "Chapter Eight. The Tea Act And The Coercive Acts." In </w:t>
      </w:r>
      <w:r w:rsidRPr="00873212">
        <w:rPr>
          <w:i/>
          <w:iCs/>
        </w:rPr>
        <w:t>Reluctant Revolutionaries</w:t>
      </w:r>
      <w:r w:rsidRPr="00873212">
        <w:t>, pp. 175-197. Cornell University Press, 2018.</w:t>
      </w:r>
    </w:p>
    <w:p w14:paraId="4AF18BE6" w14:textId="77777777" w:rsidR="00873212" w:rsidRDefault="00873212">
      <w:pPr>
        <w:pStyle w:val="FootnoteText"/>
      </w:pPr>
    </w:p>
  </w:footnote>
  <w:footnote w:id="17">
    <w:p w14:paraId="2F90E4ED" w14:textId="77777777" w:rsidR="00873212" w:rsidRPr="00873212" w:rsidRDefault="00C70C18" w:rsidP="00873212">
      <w:pPr>
        <w:pStyle w:val="FootnoteText"/>
      </w:pPr>
      <w:r>
        <w:rPr>
          <w:rStyle w:val="FootnoteReference"/>
        </w:rPr>
        <w:footnoteRef/>
      </w:r>
      <w:r>
        <w:t xml:space="preserve"> </w:t>
      </w:r>
      <w:r w:rsidRPr="00873212">
        <w:t>Vine, Ben. "American Spring: Lexington, Concord, and the Road to Revolution." (2015): 348-350.</w:t>
      </w:r>
    </w:p>
    <w:p w14:paraId="64AB20ED" w14:textId="77777777" w:rsidR="00873212" w:rsidRDefault="008732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158241"/>
      <w:docPartObj>
        <w:docPartGallery w:val="Page Numbers (Top of Page)"/>
        <w:docPartUnique/>
      </w:docPartObj>
    </w:sdtPr>
    <w:sdtEndPr>
      <w:rPr>
        <w:noProof/>
      </w:rPr>
    </w:sdtEndPr>
    <w:sdtContent>
      <w:p w14:paraId="04F68B1F" w14:textId="21764DD2" w:rsidR="001600F7" w:rsidRDefault="001600F7">
        <w:pPr>
          <w:pStyle w:val="Header"/>
          <w:jc w:val="right"/>
        </w:pPr>
        <w:r w:rsidRPr="001600F7">
          <w:rPr>
            <w:rFonts w:ascii="Times New Roman" w:hAnsi="Times New Roman" w:cs="Times New Roman"/>
            <w:sz w:val="24"/>
            <w:szCs w:val="24"/>
          </w:rPr>
          <w:fldChar w:fldCharType="begin"/>
        </w:r>
        <w:r w:rsidRPr="001600F7">
          <w:rPr>
            <w:rFonts w:ascii="Times New Roman" w:hAnsi="Times New Roman" w:cs="Times New Roman"/>
            <w:sz w:val="24"/>
            <w:szCs w:val="24"/>
          </w:rPr>
          <w:instrText xml:space="preserve"> PAGE   \* MERGEFORMAT </w:instrText>
        </w:r>
        <w:r w:rsidRPr="001600F7">
          <w:rPr>
            <w:rFonts w:ascii="Times New Roman" w:hAnsi="Times New Roman" w:cs="Times New Roman"/>
            <w:sz w:val="24"/>
            <w:szCs w:val="24"/>
          </w:rPr>
          <w:fldChar w:fldCharType="separate"/>
        </w:r>
        <w:r w:rsidRPr="001600F7">
          <w:rPr>
            <w:rFonts w:ascii="Times New Roman" w:hAnsi="Times New Roman" w:cs="Times New Roman"/>
            <w:noProof/>
            <w:sz w:val="24"/>
            <w:szCs w:val="24"/>
          </w:rPr>
          <w:t>2</w:t>
        </w:r>
        <w:r w:rsidRPr="001600F7">
          <w:rPr>
            <w:rFonts w:ascii="Times New Roman" w:hAnsi="Times New Roman" w:cs="Times New Roman"/>
            <w:noProof/>
            <w:sz w:val="24"/>
            <w:szCs w:val="24"/>
          </w:rPr>
          <w:fldChar w:fldCharType="end"/>
        </w:r>
      </w:p>
    </w:sdtContent>
  </w:sdt>
  <w:p w14:paraId="669392F6" w14:textId="77777777" w:rsidR="001600F7" w:rsidRDefault="00160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55CB1"/>
    <w:multiLevelType w:val="hybridMultilevel"/>
    <w:tmpl w:val="61161E3E"/>
    <w:lvl w:ilvl="0" w:tplc="5F20D6FE">
      <w:start w:val="1"/>
      <w:numFmt w:val="bullet"/>
      <w:lvlText w:val=""/>
      <w:lvlJc w:val="left"/>
      <w:pPr>
        <w:ind w:left="720" w:hanging="360"/>
      </w:pPr>
      <w:rPr>
        <w:rFonts w:ascii="Symbol" w:hAnsi="Symbol" w:hint="default"/>
      </w:rPr>
    </w:lvl>
    <w:lvl w:ilvl="1" w:tplc="4DA63486" w:tentative="1">
      <w:start w:val="1"/>
      <w:numFmt w:val="bullet"/>
      <w:lvlText w:val="o"/>
      <w:lvlJc w:val="left"/>
      <w:pPr>
        <w:ind w:left="1440" w:hanging="360"/>
      </w:pPr>
      <w:rPr>
        <w:rFonts w:ascii="Courier New" w:hAnsi="Courier New" w:cs="Courier New" w:hint="default"/>
      </w:rPr>
    </w:lvl>
    <w:lvl w:ilvl="2" w:tplc="586C8192" w:tentative="1">
      <w:start w:val="1"/>
      <w:numFmt w:val="bullet"/>
      <w:lvlText w:val=""/>
      <w:lvlJc w:val="left"/>
      <w:pPr>
        <w:ind w:left="2160" w:hanging="360"/>
      </w:pPr>
      <w:rPr>
        <w:rFonts w:ascii="Wingdings" w:hAnsi="Wingdings" w:hint="default"/>
      </w:rPr>
    </w:lvl>
    <w:lvl w:ilvl="3" w:tplc="36B40322" w:tentative="1">
      <w:start w:val="1"/>
      <w:numFmt w:val="bullet"/>
      <w:lvlText w:val=""/>
      <w:lvlJc w:val="left"/>
      <w:pPr>
        <w:ind w:left="2880" w:hanging="360"/>
      </w:pPr>
      <w:rPr>
        <w:rFonts w:ascii="Symbol" w:hAnsi="Symbol" w:hint="default"/>
      </w:rPr>
    </w:lvl>
    <w:lvl w:ilvl="4" w:tplc="7C8C82BA" w:tentative="1">
      <w:start w:val="1"/>
      <w:numFmt w:val="bullet"/>
      <w:lvlText w:val="o"/>
      <w:lvlJc w:val="left"/>
      <w:pPr>
        <w:ind w:left="3600" w:hanging="360"/>
      </w:pPr>
      <w:rPr>
        <w:rFonts w:ascii="Courier New" w:hAnsi="Courier New" w:cs="Courier New" w:hint="default"/>
      </w:rPr>
    </w:lvl>
    <w:lvl w:ilvl="5" w:tplc="A61275FE" w:tentative="1">
      <w:start w:val="1"/>
      <w:numFmt w:val="bullet"/>
      <w:lvlText w:val=""/>
      <w:lvlJc w:val="left"/>
      <w:pPr>
        <w:ind w:left="4320" w:hanging="360"/>
      </w:pPr>
      <w:rPr>
        <w:rFonts w:ascii="Wingdings" w:hAnsi="Wingdings" w:hint="default"/>
      </w:rPr>
    </w:lvl>
    <w:lvl w:ilvl="6" w:tplc="2004B46C" w:tentative="1">
      <w:start w:val="1"/>
      <w:numFmt w:val="bullet"/>
      <w:lvlText w:val=""/>
      <w:lvlJc w:val="left"/>
      <w:pPr>
        <w:ind w:left="5040" w:hanging="360"/>
      </w:pPr>
      <w:rPr>
        <w:rFonts w:ascii="Symbol" w:hAnsi="Symbol" w:hint="default"/>
      </w:rPr>
    </w:lvl>
    <w:lvl w:ilvl="7" w:tplc="36549B80" w:tentative="1">
      <w:start w:val="1"/>
      <w:numFmt w:val="bullet"/>
      <w:lvlText w:val="o"/>
      <w:lvlJc w:val="left"/>
      <w:pPr>
        <w:ind w:left="5760" w:hanging="360"/>
      </w:pPr>
      <w:rPr>
        <w:rFonts w:ascii="Courier New" w:hAnsi="Courier New" w:cs="Courier New" w:hint="default"/>
      </w:rPr>
    </w:lvl>
    <w:lvl w:ilvl="8" w:tplc="1F321EC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MDC3NDE0MTExMzFQ0lEKTi0uzszPAykwrgUArUf4+iwAAAA="/>
  </w:docVars>
  <w:rsids>
    <w:rsidRoot w:val="00090D73"/>
    <w:rsid w:val="00057DC2"/>
    <w:rsid w:val="00090D73"/>
    <w:rsid w:val="000B2849"/>
    <w:rsid w:val="000C0A95"/>
    <w:rsid w:val="00104B37"/>
    <w:rsid w:val="001171B9"/>
    <w:rsid w:val="00126A10"/>
    <w:rsid w:val="001600F7"/>
    <w:rsid w:val="001C6C0D"/>
    <w:rsid w:val="0023673C"/>
    <w:rsid w:val="00395565"/>
    <w:rsid w:val="00524724"/>
    <w:rsid w:val="00601D8D"/>
    <w:rsid w:val="00631851"/>
    <w:rsid w:val="00633574"/>
    <w:rsid w:val="00671AF6"/>
    <w:rsid w:val="006857D7"/>
    <w:rsid w:val="006962BA"/>
    <w:rsid w:val="006C3450"/>
    <w:rsid w:val="006E23FF"/>
    <w:rsid w:val="007843C6"/>
    <w:rsid w:val="007C456D"/>
    <w:rsid w:val="00820717"/>
    <w:rsid w:val="008213B6"/>
    <w:rsid w:val="00864751"/>
    <w:rsid w:val="00873212"/>
    <w:rsid w:val="00874A32"/>
    <w:rsid w:val="008949CD"/>
    <w:rsid w:val="008A4028"/>
    <w:rsid w:val="008F73E9"/>
    <w:rsid w:val="009C4C1D"/>
    <w:rsid w:val="00A166CE"/>
    <w:rsid w:val="00A30BC9"/>
    <w:rsid w:val="00A42626"/>
    <w:rsid w:val="00B20717"/>
    <w:rsid w:val="00B75700"/>
    <w:rsid w:val="00C171FD"/>
    <w:rsid w:val="00C4248E"/>
    <w:rsid w:val="00C62FE7"/>
    <w:rsid w:val="00C646DF"/>
    <w:rsid w:val="00C70C18"/>
    <w:rsid w:val="00D4389C"/>
    <w:rsid w:val="00DC6F69"/>
    <w:rsid w:val="00E26F90"/>
    <w:rsid w:val="00E35F0A"/>
    <w:rsid w:val="00E63010"/>
    <w:rsid w:val="00EA4024"/>
    <w:rsid w:val="00EC2DD8"/>
    <w:rsid w:val="00EC38F9"/>
    <w:rsid w:val="00EE0065"/>
    <w:rsid w:val="00EF4E1B"/>
    <w:rsid w:val="00F74FCD"/>
    <w:rsid w:val="00F8143B"/>
    <w:rsid w:val="00F85EC9"/>
    <w:rsid w:val="00F9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9743"/>
  <w15:docId w15:val="{F4500181-A44D-4553-BCA5-26E06561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AF6"/>
    <w:pPr>
      <w:ind w:left="720"/>
      <w:contextualSpacing/>
    </w:pPr>
  </w:style>
  <w:style w:type="paragraph" w:styleId="Header">
    <w:name w:val="header"/>
    <w:basedOn w:val="Normal"/>
    <w:link w:val="HeaderChar"/>
    <w:uiPriority w:val="99"/>
    <w:unhideWhenUsed/>
    <w:rsid w:val="00F8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C9"/>
  </w:style>
  <w:style w:type="paragraph" w:styleId="Footer">
    <w:name w:val="footer"/>
    <w:basedOn w:val="Normal"/>
    <w:link w:val="FooterChar"/>
    <w:uiPriority w:val="99"/>
    <w:unhideWhenUsed/>
    <w:rsid w:val="00F8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C9"/>
  </w:style>
  <w:style w:type="paragraph" w:styleId="FootnoteText">
    <w:name w:val="footnote text"/>
    <w:basedOn w:val="Normal"/>
    <w:link w:val="FootnoteTextChar"/>
    <w:uiPriority w:val="99"/>
    <w:semiHidden/>
    <w:unhideWhenUsed/>
    <w:rsid w:val="00DC6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F69"/>
    <w:rPr>
      <w:sz w:val="20"/>
      <w:szCs w:val="20"/>
    </w:rPr>
  </w:style>
  <w:style w:type="character" w:styleId="FootnoteReference">
    <w:name w:val="footnote reference"/>
    <w:basedOn w:val="DefaultParagraphFont"/>
    <w:uiPriority w:val="99"/>
    <w:semiHidden/>
    <w:unhideWhenUsed/>
    <w:rsid w:val="00DC6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9590-98F0-44FA-8774-723747D1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8</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2021-06-04T17:19:00Z</dcterms:created>
  <dcterms:modified xsi:type="dcterms:W3CDTF">2021-06-06T14:03:00Z</dcterms:modified>
</cp:coreProperties>
</file>